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10B18" w:rsidRDefault="00C10B18" w:rsidP="00C10B18">
      <w:pPr>
        <w:pStyle w:val="Obsah3"/>
        <w:tabs>
          <w:tab w:val="clear" w:pos="851"/>
          <w:tab w:val="left" w:pos="4678"/>
          <w:tab w:val="right" w:pos="9498"/>
        </w:tabs>
        <w:rPr>
          <w:noProof w:val="0"/>
          <w:szCs w:val="20"/>
        </w:rPr>
      </w:pPr>
      <w:r>
        <w:rPr>
          <w:noProof w:val="0"/>
          <w:szCs w:val="20"/>
        </w:rPr>
        <w:t>OBSAH</w:t>
      </w:r>
      <w:r>
        <w:rPr>
          <w:noProof w:val="0"/>
          <w:szCs w:val="20"/>
        </w:rPr>
        <w:tab/>
      </w:r>
      <w:r>
        <w:rPr>
          <w:noProof w:val="0"/>
          <w:szCs w:val="20"/>
        </w:rPr>
        <w:tab/>
        <w:t>STRANA</w:t>
      </w:r>
    </w:p>
    <w:p w:rsidR="00C10B18" w:rsidRDefault="00F577EA" w:rsidP="00C10B18">
      <w:pPr>
        <w:pStyle w:val="Obsah2"/>
        <w:rPr>
          <w:rFonts w:ascii="Calibri" w:hAnsi="Calibri"/>
          <w:szCs w:val="22"/>
        </w:rPr>
      </w:pPr>
      <w:r w:rsidRPr="00F577EA">
        <w:rPr>
          <w:bCs/>
          <w:caps/>
        </w:rPr>
        <w:fldChar w:fldCharType="begin"/>
      </w:r>
      <w:r w:rsidR="00C10B18">
        <w:rPr>
          <w:bCs/>
          <w:caps/>
        </w:rPr>
        <w:instrText xml:space="preserve"> TOC \o "1-3" \f \h \z \u </w:instrText>
      </w:r>
      <w:r w:rsidRPr="00F577EA">
        <w:rPr>
          <w:bCs/>
          <w:caps/>
        </w:rPr>
        <w:fldChar w:fldCharType="separate"/>
      </w:r>
      <w:hyperlink w:anchor="_Toc509490041" w:history="1">
        <w:r w:rsidR="00C10B18" w:rsidRPr="00ED75F9">
          <w:rPr>
            <w:rStyle w:val="Hypertextovodkaz"/>
          </w:rPr>
          <w:t>a)</w:t>
        </w:r>
        <w:r w:rsidR="00C10B18">
          <w:rPr>
            <w:rFonts w:ascii="Calibri" w:hAnsi="Calibri"/>
            <w:szCs w:val="22"/>
          </w:rPr>
          <w:tab/>
        </w:r>
        <w:r w:rsidR="00C10B18" w:rsidRPr="00ED75F9">
          <w:rPr>
            <w:rStyle w:val="Hypertextovodkaz"/>
          </w:rPr>
          <w:t>Zásady řešení pro osoby s omezenou schopností pohybu</w:t>
        </w:r>
        <w:r w:rsidR="00C10B18">
          <w:rPr>
            <w:webHidden/>
          </w:rPr>
          <w:tab/>
        </w:r>
        <w:r>
          <w:rPr>
            <w:webHidden/>
          </w:rPr>
          <w:fldChar w:fldCharType="begin"/>
        </w:r>
        <w:r w:rsidR="00C10B18">
          <w:rPr>
            <w:webHidden/>
          </w:rPr>
          <w:instrText xml:space="preserve"> PAGEREF _Toc509490041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8B300C">
          <w:rPr>
            <w:webHidden/>
          </w:rPr>
          <w:t>3</w:t>
        </w:r>
        <w:r>
          <w:rPr>
            <w:webHidden/>
          </w:rPr>
          <w:fldChar w:fldCharType="end"/>
        </w:r>
      </w:hyperlink>
    </w:p>
    <w:p w:rsidR="00C10B18" w:rsidRDefault="00F577EA" w:rsidP="00C10B18">
      <w:pPr>
        <w:pStyle w:val="Obsah2"/>
        <w:rPr>
          <w:rFonts w:ascii="Calibri" w:hAnsi="Calibri"/>
          <w:szCs w:val="22"/>
        </w:rPr>
      </w:pPr>
      <w:hyperlink w:anchor="_Toc509490042" w:history="1">
        <w:r w:rsidR="00C10B18" w:rsidRPr="00ED75F9">
          <w:rPr>
            <w:rStyle w:val="Hypertextovodkaz"/>
          </w:rPr>
          <w:t>b)</w:t>
        </w:r>
        <w:r w:rsidR="00C10B18">
          <w:rPr>
            <w:rFonts w:ascii="Calibri" w:hAnsi="Calibri"/>
            <w:szCs w:val="22"/>
          </w:rPr>
          <w:tab/>
        </w:r>
        <w:r w:rsidR="00C10B18" w:rsidRPr="00ED75F9">
          <w:rPr>
            <w:rStyle w:val="Hypertextovodkaz"/>
          </w:rPr>
          <w:t>Zásady řešení pro osoby se zrakovým postižením (s</w:t>
        </w:r>
        <w:r w:rsidR="00C10B18">
          <w:rPr>
            <w:rStyle w:val="Hypertextovodkaz"/>
          </w:rPr>
          <w:t xml:space="preserve"> </w:t>
        </w:r>
        <w:r w:rsidR="00C10B18" w:rsidRPr="00ED75F9">
          <w:rPr>
            <w:rStyle w:val="Hypertextovodkaz"/>
          </w:rPr>
          <w:t>omezenou schopností orientace)</w:t>
        </w:r>
        <w:r w:rsidR="00C10B18">
          <w:rPr>
            <w:webHidden/>
          </w:rPr>
          <w:tab/>
        </w:r>
        <w:r>
          <w:rPr>
            <w:webHidden/>
          </w:rPr>
          <w:fldChar w:fldCharType="begin"/>
        </w:r>
        <w:r w:rsidR="00C10B18">
          <w:rPr>
            <w:webHidden/>
          </w:rPr>
          <w:instrText xml:space="preserve"> PAGEREF _Toc509490042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8B300C">
          <w:rPr>
            <w:webHidden/>
          </w:rPr>
          <w:t>3</w:t>
        </w:r>
        <w:r>
          <w:rPr>
            <w:webHidden/>
          </w:rPr>
          <w:fldChar w:fldCharType="end"/>
        </w:r>
      </w:hyperlink>
    </w:p>
    <w:p w:rsidR="00C10B18" w:rsidRDefault="00F577EA" w:rsidP="00C10B18">
      <w:pPr>
        <w:pStyle w:val="Obsah2"/>
        <w:rPr>
          <w:rFonts w:ascii="Calibri" w:hAnsi="Calibri"/>
          <w:szCs w:val="22"/>
        </w:rPr>
      </w:pPr>
      <w:hyperlink w:anchor="_Toc509490043" w:history="1">
        <w:r w:rsidR="00C10B18" w:rsidRPr="00ED75F9">
          <w:rPr>
            <w:rStyle w:val="Hypertextovodkaz"/>
          </w:rPr>
          <w:t>c)</w:t>
        </w:r>
        <w:r w:rsidR="00C10B18">
          <w:rPr>
            <w:rFonts w:ascii="Calibri" w:hAnsi="Calibri"/>
            <w:szCs w:val="22"/>
          </w:rPr>
          <w:tab/>
        </w:r>
        <w:r w:rsidR="00C10B18" w:rsidRPr="00ED75F9">
          <w:rPr>
            <w:rStyle w:val="Hypertextovodkaz"/>
          </w:rPr>
          <w:t>Zásady řešení pro osoby se sluchovým postižením</w:t>
        </w:r>
        <w:r w:rsidR="00C10B18">
          <w:rPr>
            <w:webHidden/>
          </w:rPr>
          <w:tab/>
        </w:r>
        <w:r>
          <w:rPr>
            <w:webHidden/>
          </w:rPr>
          <w:fldChar w:fldCharType="begin"/>
        </w:r>
        <w:r w:rsidR="00C10B18">
          <w:rPr>
            <w:webHidden/>
          </w:rPr>
          <w:instrText xml:space="preserve"> PAGEREF _Toc509490043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8B300C">
          <w:rPr>
            <w:webHidden/>
          </w:rPr>
          <w:t>4</w:t>
        </w:r>
        <w:r>
          <w:rPr>
            <w:webHidden/>
          </w:rPr>
          <w:fldChar w:fldCharType="end"/>
        </w:r>
      </w:hyperlink>
    </w:p>
    <w:p w:rsidR="00C10B18" w:rsidRDefault="00F577EA" w:rsidP="00C10B18">
      <w:pPr>
        <w:pStyle w:val="Obsah2"/>
        <w:rPr>
          <w:rFonts w:ascii="Calibri" w:hAnsi="Calibri"/>
          <w:szCs w:val="22"/>
        </w:rPr>
      </w:pPr>
      <w:hyperlink w:anchor="_Toc509490044" w:history="1">
        <w:r w:rsidR="00C10B18" w:rsidRPr="00ED75F9">
          <w:rPr>
            <w:rStyle w:val="Hypertextovodkaz"/>
          </w:rPr>
          <w:t>d)</w:t>
        </w:r>
        <w:r w:rsidR="00C10B18">
          <w:rPr>
            <w:rFonts w:ascii="Calibri" w:hAnsi="Calibri"/>
            <w:szCs w:val="22"/>
          </w:rPr>
          <w:tab/>
        </w:r>
        <w:r w:rsidR="00C10B18" w:rsidRPr="00ED75F9">
          <w:rPr>
            <w:rStyle w:val="Hypertextovodkaz"/>
          </w:rPr>
          <w:t xml:space="preserve">Použití stavebních výrobků pro bezbariérové </w:t>
        </w:r>
        <w:r w:rsidR="00C10B18" w:rsidRPr="00C10B18">
          <w:rPr>
            <w:rStyle w:val="Hypertextovodkaz"/>
            <w:sz w:val="20"/>
          </w:rPr>
          <w:t>řešení</w:t>
        </w:r>
        <w:r w:rsidR="00C10B18">
          <w:rPr>
            <w:webHidden/>
          </w:rPr>
          <w:tab/>
        </w:r>
        <w:r>
          <w:rPr>
            <w:webHidden/>
          </w:rPr>
          <w:fldChar w:fldCharType="begin"/>
        </w:r>
        <w:r w:rsidR="00C10B18">
          <w:rPr>
            <w:webHidden/>
          </w:rPr>
          <w:instrText xml:space="preserve"> PAGEREF _Toc509490044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8B300C">
          <w:rPr>
            <w:webHidden/>
          </w:rPr>
          <w:t>4</w:t>
        </w:r>
        <w:r>
          <w:rPr>
            <w:webHidden/>
          </w:rPr>
          <w:fldChar w:fldCharType="end"/>
        </w:r>
      </w:hyperlink>
    </w:p>
    <w:p w:rsidR="00C10B18" w:rsidRDefault="00F577EA" w:rsidP="00C10B18">
      <w:pPr>
        <w:rPr>
          <w:caps/>
          <w:noProof/>
          <w:kern w:val="28"/>
          <w:szCs w:val="22"/>
          <w:u w:val="single"/>
        </w:rPr>
      </w:pPr>
      <w:r>
        <w:rPr>
          <w:caps/>
          <w:noProof/>
          <w:kern w:val="28"/>
          <w:szCs w:val="22"/>
          <w:u w:val="single"/>
        </w:rPr>
        <w:fldChar w:fldCharType="end"/>
      </w:r>
    </w:p>
    <w:p w:rsidR="00C10B18" w:rsidRDefault="00C10B18" w:rsidP="00C10B18">
      <w:pPr>
        <w:rPr>
          <w:caps/>
          <w:noProof/>
          <w:kern w:val="28"/>
          <w:szCs w:val="22"/>
          <w:u w:val="single"/>
        </w:rPr>
      </w:pPr>
    </w:p>
    <w:p w:rsidR="00C10B18" w:rsidRDefault="00C10B18" w:rsidP="00C10B18">
      <w:pPr>
        <w:rPr>
          <w:caps/>
          <w:noProof/>
          <w:kern w:val="28"/>
          <w:szCs w:val="22"/>
          <w:u w:val="single"/>
        </w:rPr>
      </w:pPr>
    </w:p>
    <w:p w:rsidR="00C10B18" w:rsidRDefault="00C10B18" w:rsidP="00C10B18">
      <w:pPr>
        <w:rPr>
          <w:caps/>
          <w:noProof/>
          <w:kern w:val="28"/>
          <w:szCs w:val="22"/>
          <w:u w:val="single"/>
        </w:rPr>
      </w:pPr>
    </w:p>
    <w:p w:rsidR="00C10B18" w:rsidRDefault="00C10B18" w:rsidP="00C10B18">
      <w:pPr>
        <w:rPr>
          <w:caps/>
          <w:noProof/>
          <w:kern w:val="28"/>
          <w:szCs w:val="22"/>
          <w:u w:val="single"/>
        </w:rPr>
      </w:pPr>
    </w:p>
    <w:p w:rsidR="00C10B18" w:rsidRDefault="00C10B18" w:rsidP="00C10B18">
      <w:pPr>
        <w:rPr>
          <w:caps/>
          <w:noProof/>
          <w:kern w:val="28"/>
          <w:szCs w:val="22"/>
          <w:u w:val="single"/>
        </w:rPr>
      </w:pPr>
    </w:p>
    <w:p w:rsidR="00C10B18" w:rsidRDefault="00C10B18" w:rsidP="00C10B18">
      <w:pPr>
        <w:rPr>
          <w:caps/>
          <w:noProof/>
          <w:kern w:val="28"/>
          <w:szCs w:val="22"/>
          <w:u w:val="single"/>
        </w:rPr>
      </w:pPr>
    </w:p>
    <w:p w:rsidR="00C10B18" w:rsidRDefault="00C10B18" w:rsidP="00C10B18">
      <w:pPr>
        <w:rPr>
          <w:caps/>
          <w:noProof/>
          <w:kern w:val="28"/>
          <w:szCs w:val="22"/>
          <w:u w:val="single"/>
        </w:rPr>
      </w:pPr>
    </w:p>
    <w:p w:rsidR="00C10B18" w:rsidRDefault="00C10B18" w:rsidP="00C10B18">
      <w:pPr>
        <w:rPr>
          <w:caps/>
          <w:noProof/>
          <w:kern w:val="28"/>
          <w:szCs w:val="22"/>
          <w:u w:val="single"/>
        </w:rPr>
      </w:pPr>
    </w:p>
    <w:p w:rsidR="00C10B18" w:rsidRDefault="00C10B18" w:rsidP="00C10B18">
      <w:pPr>
        <w:rPr>
          <w:caps/>
          <w:noProof/>
          <w:kern w:val="28"/>
          <w:szCs w:val="22"/>
          <w:u w:val="single"/>
        </w:rPr>
      </w:pPr>
    </w:p>
    <w:p w:rsidR="00C10B18" w:rsidRDefault="00C10B18" w:rsidP="00C10B18">
      <w:pPr>
        <w:rPr>
          <w:caps/>
          <w:noProof/>
          <w:kern w:val="28"/>
          <w:szCs w:val="22"/>
          <w:u w:val="single"/>
        </w:rPr>
      </w:pPr>
    </w:p>
    <w:p w:rsidR="00C10B18" w:rsidRDefault="00C10B18" w:rsidP="00C10B18">
      <w:pPr>
        <w:rPr>
          <w:caps/>
          <w:noProof/>
          <w:kern w:val="28"/>
          <w:szCs w:val="22"/>
          <w:u w:val="single"/>
        </w:rPr>
      </w:pPr>
    </w:p>
    <w:p w:rsidR="00C10B18" w:rsidRDefault="00C10B18" w:rsidP="00C10B18">
      <w:pPr>
        <w:rPr>
          <w:caps/>
          <w:noProof/>
          <w:kern w:val="28"/>
          <w:szCs w:val="22"/>
          <w:u w:val="single"/>
        </w:rPr>
      </w:pPr>
    </w:p>
    <w:p w:rsidR="00C10B18" w:rsidRDefault="00C10B18" w:rsidP="00C10B18">
      <w:pPr>
        <w:rPr>
          <w:caps/>
          <w:noProof/>
          <w:kern w:val="28"/>
          <w:szCs w:val="22"/>
          <w:u w:val="single"/>
        </w:rPr>
      </w:pPr>
    </w:p>
    <w:p w:rsidR="00C10B18" w:rsidRDefault="00C10B18" w:rsidP="00C10B18">
      <w:pPr>
        <w:rPr>
          <w:caps/>
          <w:noProof/>
          <w:kern w:val="28"/>
          <w:szCs w:val="22"/>
          <w:u w:val="single"/>
        </w:rPr>
      </w:pPr>
    </w:p>
    <w:p w:rsidR="00C10B18" w:rsidRDefault="00C10B18" w:rsidP="00C10B18">
      <w:pPr>
        <w:rPr>
          <w:caps/>
          <w:noProof/>
          <w:kern w:val="28"/>
          <w:szCs w:val="22"/>
          <w:u w:val="single"/>
        </w:rPr>
      </w:pPr>
    </w:p>
    <w:p w:rsidR="00C10B18" w:rsidRDefault="00C10B18" w:rsidP="00C10B18">
      <w:pPr>
        <w:rPr>
          <w:caps/>
          <w:noProof/>
          <w:kern w:val="28"/>
          <w:szCs w:val="22"/>
          <w:u w:val="single"/>
        </w:rPr>
      </w:pPr>
    </w:p>
    <w:p w:rsidR="00C10B18" w:rsidRDefault="00C10B18" w:rsidP="00C10B18">
      <w:pPr>
        <w:rPr>
          <w:caps/>
          <w:noProof/>
          <w:kern w:val="28"/>
          <w:szCs w:val="22"/>
          <w:u w:val="single"/>
        </w:rPr>
      </w:pPr>
    </w:p>
    <w:p w:rsidR="00C10B18" w:rsidRDefault="00C10B18" w:rsidP="00C10B18">
      <w:pPr>
        <w:rPr>
          <w:caps/>
          <w:noProof/>
          <w:kern w:val="28"/>
          <w:szCs w:val="22"/>
          <w:u w:val="single"/>
        </w:rPr>
      </w:pPr>
    </w:p>
    <w:p w:rsidR="00C10B18" w:rsidRDefault="00C10B18" w:rsidP="00C10B18">
      <w:pPr>
        <w:rPr>
          <w:caps/>
          <w:noProof/>
          <w:kern w:val="28"/>
          <w:szCs w:val="22"/>
          <w:u w:val="single"/>
        </w:rPr>
      </w:pPr>
    </w:p>
    <w:p w:rsidR="00C10B18" w:rsidRDefault="00C10B18" w:rsidP="00C10B18">
      <w:pPr>
        <w:rPr>
          <w:caps/>
          <w:noProof/>
          <w:kern w:val="28"/>
          <w:szCs w:val="22"/>
          <w:u w:val="single"/>
        </w:rPr>
      </w:pPr>
    </w:p>
    <w:p w:rsidR="00C10B18" w:rsidRDefault="00C10B18" w:rsidP="00C10B18">
      <w:pPr>
        <w:rPr>
          <w:caps/>
          <w:noProof/>
          <w:kern w:val="28"/>
          <w:szCs w:val="22"/>
          <w:u w:val="single"/>
        </w:rPr>
      </w:pPr>
    </w:p>
    <w:p w:rsidR="00C10B18" w:rsidRDefault="00C10B18" w:rsidP="00C10B18">
      <w:pPr>
        <w:rPr>
          <w:caps/>
          <w:noProof/>
          <w:kern w:val="28"/>
          <w:szCs w:val="22"/>
          <w:u w:val="single"/>
        </w:rPr>
      </w:pPr>
    </w:p>
    <w:p w:rsidR="00C10B18" w:rsidRDefault="00C10B18" w:rsidP="00C10B18">
      <w:pPr>
        <w:rPr>
          <w:caps/>
          <w:noProof/>
          <w:kern w:val="28"/>
          <w:szCs w:val="22"/>
          <w:u w:val="single"/>
        </w:rPr>
      </w:pPr>
    </w:p>
    <w:p w:rsidR="00C10B18" w:rsidRDefault="00C10B18" w:rsidP="00C10B18">
      <w:pPr>
        <w:rPr>
          <w:caps/>
          <w:noProof/>
          <w:kern w:val="28"/>
          <w:szCs w:val="22"/>
          <w:u w:val="single"/>
        </w:rPr>
      </w:pPr>
    </w:p>
    <w:p w:rsidR="00C10B18" w:rsidRDefault="00C10B18" w:rsidP="00C10B18">
      <w:pPr>
        <w:rPr>
          <w:caps/>
          <w:noProof/>
          <w:kern w:val="28"/>
          <w:szCs w:val="22"/>
          <w:u w:val="single"/>
        </w:rPr>
      </w:pPr>
    </w:p>
    <w:p w:rsidR="00C10B18" w:rsidRDefault="00C10B18" w:rsidP="00C10B18">
      <w:pPr>
        <w:rPr>
          <w:caps/>
          <w:noProof/>
          <w:kern w:val="28"/>
          <w:szCs w:val="22"/>
          <w:u w:val="single"/>
        </w:rPr>
      </w:pPr>
    </w:p>
    <w:p w:rsidR="00C10B18" w:rsidRDefault="00C10B18" w:rsidP="00C10B18">
      <w:pPr>
        <w:rPr>
          <w:caps/>
          <w:noProof/>
          <w:kern w:val="28"/>
          <w:szCs w:val="22"/>
          <w:u w:val="single"/>
        </w:rPr>
      </w:pPr>
    </w:p>
    <w:p w:rsidR="00C10B18" w:rsidRDefault="00C10B18" w:rsidP="00C10B18">
      <w:pPr>
        <w:rPr>
          <w:caps/>
          <w:noProof/>
          <w:kern w:val="28"/>
          <w:szCs w:val="22"/>
          <w:u w:val="single"/>
        </w:rPr>
      </w:pPr>
    </w:p>
    <w:p w:rsidR="00C10B18" w:rsidRDefault="00C10B18" w:rsidP="00C10B18">
      <w:pPr>
        <w:rPr>
          <w:caps/>
          <w:noProof/>
          <w:kern w:val="28"/>
          <w:szCs w:val="22"/>
          <w:u w:val="single"/>
        </w:rPr>
      </w:pPr>
    </w:p>
    <w:p w:rsidR="00C10B18" w:rsidRDefault="00C10B18" w:rsidP="00C10B18">
      <w:pPr>
        <w:rPr>
          <w:caps/>
          <w:noProof/>
          <w:kern w:val="28"/>
          <w:szCs w:val="22"/>
          <w:u w:val="single"/>
        </w:rPr>
      </w:pPr>
    </w:p>
    <w:p w:rsidR="002044C8" w:rsidRPr="002044C8" w:rsidRDefault="002044C8" w:rsidP="00C54657">
      <w:pPr>
        <w:rPr>
          <w:u w:val="single"/>
        </w:rPr>
      </w:pPr>
      <w:r w:rsidRPr="002044C8">
        <w:rPr>
          <w:u w:val="single"/>
        </w:rPr>
        <w:lastRenderedPageBreak/>
        <w:t>Stručný popis záměru</w:t>
      </w:r>
    </w:p>
    <w:p w:rsidR="002044C8" w:rsidRDefault="00C54657" w:rsidP="002044C8">
      <w:r w:rsidRPr="00C54657">
        <w:t xml:space="preserve">V rámci této stavby jsou navrženy nové i úpravy stávajících veřejně přístupných komunikací pro </w:t>
      </w:r>
      <w:r w:rsidRPr="00D7622C">
        <w:t>pěší</w:t>
      </w:r>
      <w:r w:rsidR="00F56756" w:rsidRPr="00D7622C">
        <w:t>, tj. chodník podél silnice II/480 (směr Štramberk) a přechod pro chodce přes tuto silnici</w:t>
      </w:r>
      <w:r w:rsidR="009E3A5F" w:rsidRPr="00D7622C">
        <w:t xml:space="preserve">. </w:t>
      </w:r>
      <w:r w:rsidR="002044C8" w:rsidRPr="00FC74D0">
        <w:t xml:space="preserve">Navrhovaný záměr stavby chodníku </w:t>
      </w:r>
      <w:r w:rsidR="002044C8">
        <w:t xml:space="preserve">a přechodu pro chodce </w:t>
      </w:r>
      <w:r w:rsidR="002044C8" w:rsidRPr="00FC74D0">
        <w:t>se nachází v zastavěném území města Kopřivnice,</w:t>
      </w:r>
      <w:r w:rsidR="002044C8">
        <w:t xml:space="preserve"> v přidruženém dopravním prostoru</w:t>
      </w:r>
      <w:r w:rsidR="002044C8" w:rsidRPr="00FC74D0">
        <w:t xml:space="preserve"> </w:t>
      </w:r>
      <w:r w:rsidR="002044C8">
        <w:t>silnice II/480, ul. Záhumenní</w:t>
      </w:r>
      <w:r w:rsidR="002044C8" w:rsidRPr="00FC74D0">
        <w:t xml:space="preserve">. Rozsah stavby </w:t>
      </w:r>
      <w:r w:rsidR="002044C8">
        <w:t xml:space="preserve">chodníku </w:t>
      </w:r>
      <w:r w:rsidR="002044C8" w:rsidRPr="00FC74D0">
        <w:t xml:space="preserve">je vymezen </w:t>
      </w:r>
      <w:r w:rsidR="002044C8">
        <w:t xml:space="preserve">novou zástavnou rodinných domů podél severní strany silnice, resp. pozemkem polní cesty </w:t>
      </w:r>
      <w:proofErr w:type="spellStart"/>
      <w:proofErr w:type="gramStart"/>
      <w:r w:rsidR="002044C8">
        <w:t>p.č</w:t>
      </w:r>
      <w:proofErr w:type="spellEnd"/>
      <w:r w:rsidR="002044C8">
        <w:t>.</w:t>
      </w:r>
      <w:proofErr w:type="gramEnd"/>
      <w:r w:rsidR="002044C8">
        <w:t xml:space="preserve"> 2710 a pozemkem účelové komunikace </w:t>
      </w:r>
      <w:proofErr w:type="spellStart"/>
      <w:r w:rsidR="002044C8">
        <w:t>p.č</w:t>
      </w:r>
      <w:proofErr w:type="spellEnd"/>
      <w:r w:rsidR="002044C8">
        <w:t xml:space="preserve">. 2725/1 – ul. Duhová.. </w:t>
      </w:r>
    </w:p>
    <w:p w:rsidR="002044C8" w:rsidRPr="009E3A5F" w:rsidRDefault="002044C8" w:rsidP="002044C8">
      <w:pPr>
        <w:spacing w:after="120"/>
      </w:pPr>
      <w:r w:rsidRPr="00C10684">
        <w:t>Stavebně technické řešení zahrnuje vybudování nového</w:t>
      </w:r>
      <w:r>
        <w:t xml:space="preserve"> chodníku v délce cca 110 m a v šířce 1,75-2,05m podél silnice II/480 a jeho propojení se stávajícím chodníkem situovaným na druhé straně silnice. Propojení obou chodníku bude prostřednictvím nového přechodu pro chodce. Z důvodu zřízení přechodu pro chodce dojde k lokální změně šířkového uspořádání hlavní silnice a stávajícího chodníku, a sice zúžení silnice z 8,0 m na 7,0 m, resp. rozšíření </w:t>
      </w:r>
      <w:r w:rsidRPr="009E3A5F">
        <w:t xml:space="preserve">chodníku o 0,50 m. </w:t>
      </w:r>
    </w:p>
    <w:p w:rsidR="00E94B60" w:rsidRDefault="00E94B60" w:rsidP="00D053A0">
      <w:pPr>
        <w:spacing w:after="120"/>
      </w:pPr>
      <w:r w:rsidRPr="009E3A5F">
        <w:t xml:space="preserve">Účelem </w:t>
      </w:r>
      <w:r w:rsidR="009E3A5F" w:rsidRPr="009E3A5F">
        <w:t>stavby chodníku a přechodu pro chodcem je</w:t>
      </w:r>
      <w:r w:rsidRPr="009E3A5F">
        <w:t xml:space="preserve"> zajištění bezpečného propojení pěší dopravy z nového chodníku se stávajícím chodníkem na druhé straně silnice II/480, resp. zvýšení bezpečnosti pěší dopravy p</w:t>
      </w:r>
      <w:r w:rsidR="009E3A5F" w:rsidRPr="009E3A5F">
        <w:t>ři přecházení přes tuto silnici.</w:t>
      </w:r>
      <w:r>
        <w:t xml:space="preserve"> </w:t>
      </w:r>
    </w:p>
    <w:p w:rsidR="00D053A0" w:rsidRDefault="00D053A0" w:rsidP="004524AF">
      <w:pPr>
        <w:spacing w:after="240"/>
      </w:pPr>
      <w:r>
        <w:t>Technické</w:t>
      </w:r>
      <w:r w:rsidRPr="00D7622C">
        <w:t xml:space="preserve"> řešení bezbariérového užívání je popsáno v této zprávě a zobrazeno </w:t>
      </w:r>
      <w:r>
        <w:t>v grafických přílohách zprávy a</w:t>
      </w:r>
      <w:r w:rsidRPr="00D7622C">
        <w:t xml:space="preserve"> ve výkrese č. </w:t>
      </w:r>
      <w:proofErr w:type="gramStart"/>
      <w:r w:rsidRPr="00D7622C">
        <w:t>C.1.5</w:t>
      </w:r>
      <w:proofErr w:type="gramEnd"/>
      <w:r w:rsidRPr="00D7622C">
        <w:t>. Bezbariérové úpravy – detaily ZTP.</w:t>
      </w:r>
    </w:p>
    <w:p w:rsidR="00C10B18" w:rsidRPr="00F56756" w:rsidRDefault="00C10B18" w:rsidP="009E3A5F">
      <w:pPr>
        <w:pStyle w:val="Nadpis2"/>
        <w:numPr>
          <w:ilvl w:val="0"/>
          <w:numId w:val="12"/>
        </w:numPr>
        <w:spacing w:before="120" w:after="120"/>
        <w:rPr>
          <w:u w:val="none"/>
        </w:rPr>
      </w:pPr>
      <w:bookmarkStart w:id="0" w:name="_Toc501722607"/>
      <w:bookmarkStart w:id="1" w:name="_Toc509490041"/>
      <w:r w:rsidRPr="00F56756">
        <w:rPr>
          <w:u w:val="none"/>
        </w:rPr>
        <w:t>Zásady řešení pro osoby s omezenou schopností pohybu</w:t>
      </w:r>
      <w:bookmarkEnd w:id="0"/>
      <w:bookmarkEnd w:id="1"/>
    </w:p>
    <w:p w:rsidR="00C10B18" w:rsidRPr="00F56756" w:rsidRDefault="00C10B18" w:rsidP="002044C8">
      <w:pPr>
        <w:spacing w:after="120"/>
      </w:pPr>
      <w:r w:rsidRPr="00F56756">
        <w:t>Zásady řešení pro osoby s omezenou schopností pohybu vycházejí s vyhlášky Ministerstva pro místní rozvoj č.398/2009 Sb., o obecných technických požadavcích zabezpečujících bezbariérové užívání staveb. Navrhované komunikace pro pěší umožňují samostatný, bezpečný, snadný a plynulý pohyb osob s omezenou schopností pohybu a jejich míjení s ostatními chodci. Základní technické požadavky chodníku dle přílohy č. 1 a 2 této vyhlášky jsou dodrženy.</w:t>
      </w:r>
    </w:p>
    <w:p w:rsidR="009E3A5F" w:rsidRPr="00F56756" w:rsidRDefault="009E3A5F" w:rsidP="009E3A5F">
      <w:pPr>
        <w:numPr>
          <w:ilvl w:val="0"/>
          <w:numId w:val="10"/>
        </w:numPr>
      </w:pPr>
      <w:r w:rsidRPr="00F56756">
        <w:t>celková šířka navrhovaných chodníků je 1,75 - 2,05 m</w:t>
      </w:r>
    </w:p>
    <w:p w:rsidR="009E3A5F" w:rsidRPr="009E3A5F" w:rsidRDefault="00820366" w:rsidP="00820366">
      <w:pPr>
        <w:numPr>
          <w:ilvl w:val="0"/>
          <w:numId w:val="10"/>
        </w:numPr>
      </w:pPr>
      <w:r w:rsidRPr="00F56756">
        <w:rPr>
          <w:rFonts w:cs="Arial"/>
        </w:rPr>
        <w:t>v místech napojení chodníku na pozemní komunikace bude nový i stávající chodník na styku s vozovkou vybaven sníženou obrubou s</w:t>
      </w:r>
      <w:r w:rsidR="00586E32">
        <w:rPr>
          <w:rFonts w:cs="Arial"/>
        </w:rPr>
        <w:t xml:space="preserve"> výškovými rozdíly </w:t>
      </w:r>
      <w:r w:rsidR="009E3A5F">
        <w:rPr>
          <w:rFonts w:cs="Arial"/>
        </w:rPr>
        <w:t xml:space="preserve">max. 20 mm </w:t>
      </w:r>
    </w:p>
    <w:p w:rsidR="00820366" w:rsidRPr="00F56756" w:rsidRDefault="009E3A5F" w:rsidP="00820366">
      <w:pPr>
        <w:numPr>
          <w:ilvl w:val="0"/>
          <w:numId w:val="10"/>
        </w:numPr>
      </w:pPr>
      <w:r>
        <w:rPr>
          <w:rFonts w:cs="Arial"/>
        </w:rPr>
        <w:t>s</w:t>
      </w:r>
      <w:r w:rsidR="00820366" w:rsidRPr="00F56756">
        <w:rPr>
          <w:rFonts w:cs="Arial"/>
        </w:rPr>
        <w:t>nížení povrchu chodníku</w:t>
      </w:r>
      <w:r>
        <w:rPr>
          <w:rFonts w:cs="Arial"/>
        </w:rPr>
        <w:t xml:space="preserve"> na úroveň vozovky</w:t>
      </w:r>
      <w:r w:rsidR="00820366" w:rsidRPr="00F56756">
        <w:rPr>
          <w:rFonts w:cs="Arial"/>
        </w:rPr>
        <w:t xml:space="preserve"> je pomocí rampových náběhů ve sklonu </w:t>
      </w:r>
      <w:r>
        <w:rPr>
          <w:rFonts w:cs="Arial"/>
        </w:rPr>
        <w:t>max. 12,5</w:t>
      </w:r>
      <w:r w:rsidR="00820366" w:rsidRPr="00F56756">
        <w:rPr>
          <w:rFonts w:cs="Arial"/>
        </w:rPr>
        <w:t xml:space="preserve">%. </w:t>
      </w:r>
    </w:p>
    <w:p w:rsidR="00C10B18" w:rsidRPr="00F56756" w:rsidRDefault="00C10B18" w:rsidP="00820366">
      <w:pPr>
        <w:numPr>
          <w:ilvl w:val="0"/>
          <w:numId w:val="10"/>
        </w:numPr>
      </w:pPr>
      <w:r w:rsidRPr="00F56756">
        <w:t>podélný profil navrhovan</w:t>
      </w:r>
      <w:r w:rsidR="00D344A5" w:rsidRPr="00F56756">
        <w:t>ého</w:t>
      </w:r>
      <w:r w:rsidRPr="00F56756">
        <w:t xml:space="preserve"> chodník</w:t>
      </w:r>
      <w:r w:rsidR="00D344A5" w:rsidRPr="00F56756">
        <w:t>u</w:t>
      </w:r>
      <w:r w:rsidRPr="00F56756">
        <w:t xml:space="preserve"> nepřesáhne 8,33%</w:t>
      </w:r>
      <w:r w:rsidR="00820366" w:rsidRPr="00F56756">
        <w:t>. P</w:t>
      </w:r>
      <w:r w:rsidRPr="00F56756">
        <w:t xml:space="preserve">odélný profil chodníku je dle nivelety </w:t>
      </w:r>
      <w:r w:rsidR="00D344A5" w:rsidRPr="00F56756">
        <w:t>přilehlé silnice II/480, tj. v</w:t>
      </w:r>
      <w:r w:rsidRPr="00F56756">
        <w:t xml:space="preserve"> rozmezí </w:t>
      </w:r>
      <w:r w:rsidR="00D344A5" w:rsidRPr="00F56756">
        <w:t>1,6-3,5</w:t>
      </w:r>
      <w:r w:rsidRPr="00F56756">
        <w:t>%</w:t>
      </w:r>
    </w:p>
    <w:p w:rsidR="0012727A" w:rsidRPr="00F56756" w:rsidRDefault="0012727A" w:rsidP="004524AF">
      <w:pPr>
        <w:numPr>
          <w:ilvl w:val="0"/>
          <w:numId w:val="10"/>
        </w:numPr>
        <w:spacing w:after="240"/>
        <w:ind w:left="357" w:hanging="357"/>
      </w:pPr>
      <w:r w:rsidRPr="00F56756">
        <w:t xml:space="preserve">příčný sklon chodníku je 2% </w:t>
      </w:r>
    </w:p>
    <w:p w:rsidR="00C10B18" w:rsidRPr="000D263B" w:rsidRDefault="00C10B18" w:rsidP="00C10B18">
      <w:pPr>
        <w:pStyle w:val="Nadpis2"/>
        <w:numPr>
          <w:ilvl w:val="0"/>
          <w:numId w:val="12"/>
        </w:numPr>
        <w:tabs>
          <w:tab w:val="num" w:pos="567"/>
        </w:tabs>
        <w:rPr>
          <w:u w:val="none"/>
        </w:rPr>
      </w:pPr>
      <w:bookmarkStart w:id="2" w:name="_Toc501722608"/>
      <w:bookmarkStart w:id="3" w:name="_Toc509490042"/>
      <w:r w:rsidRPr="000D263B">
        <w:rPr>
          <w:u w:val="none"/>
        </w:rPr>
        <w:t>Zásady řešení pro osoby se zrakovým postižením (s omezenou schopností orientace)</w:t>
      </w:r>
      <w:bookmarkEnd w:id="2"/>
      <w:bookmarkEnd w:id="3"/>
    </w:p>
    <w:p w:rsidR="00C10B18" w:rsidRDefault="00C10B18" w:rsidP="00D053A0">
      <w:pPr>
        <w:spacing w:after="120"/>
      </w:pPr>
      <w:r w:rsidRPr="000D263B">
        <w:t>Zásady řešení pro osoby s omezenou schopností orientace vycházejí s vyhlášky Ministerstva pro místní rozvoj č.398/2009 Sb., o obecných technických požadavcích zabezpečujících bezbariérové užívání staveb. Navrhované komunikace pro pěší umožňují samostatný, bezpečný, snadný a plynulý pohyb osob s omezenou schopností orientace a jejich míjení s ostatními chodci. Základní technické požadavky chodníku dle přílohy č. 1 a 2 této vyhlášky jsou dodrženy.</w:t>
      </w:r>
    </w:p>
    <w:p w:rsidR="004524AF" w:rsidRPr="004524AF" w:rsidRDefault="004524AF" w:rsidP="004524AF">
      <w:pPr>
        <w:spacing w:after="120"/>
        <w:rPr>
          <w:u w:val="single"/>
        </w:rPr>
      </w:pPr>
      <w:r w:rsidRPr="004524AF">
        <w:rPr>
          <w:u w:val="single"/>
        </w:rPr>
        <w:t>Chodník</w:t>
      </w:r>
    </w:p>
    <w:p w:rsidR="000D263B" w:rsidRDefault="000D263B" w:rsidP="000D263B">
      <w:pPr>
        <w:numPr>
          <w:ilvl w:val="0"/>
          <w:numId w:val="13"/>
        </w:numPr>
        <w:textAlignment w:val="auto"/>
      </w:pPr>
      <w:r>
        <w:t>v</w:t>
      </w:r>
      <w:r w:rsidRPr="000D263B">
        <w:t> místě začátk</w:t>
      </w:r>
      <w:r w:rsidR="009E3A5F">
        <w:t>u a konce</w:t>
      </w:r>
      <w:r w:rsidR="00490651">
        <w:t xml:space="preserve"> chodníku</w:t>
      </w:r>
      <w:r w:rsidR="009E3A5F">
        <w:t xml:space="preserve"> </w:t>
      </w:r>
      <w:r w:rsidRPr="000D263B">
        <w:t>bude chodník</w:t>
      </w:r>
      <w:r w:rsidR="00490651">
        <w:t xml:space="preserve"> na styku s pojížděným pásem</w:t>
      </w:r>
      <w:r w:rsidRPr="000D263B">
        <w:t xml:space="preserve"> opatřen varovným pásem v šířce 400mm. Varovný pás bude </w:t>
      </w:r>
      <w:r w:rsidR="008B300C">
        <w:t>končit</w:t>
      </w:r>
      <w:r w:rsidRPr="000D263B">
        <w:t xml:space="preserve"> v místě, kde je výška </w:t>
      </w:r>
      <w:r w:rsidRPr="000D263B">
        <w:lastRenderedPageBreak/>
        <w:t>obrubníku 80mm nad vozovkou. Provedení varovného pásu je z reliéfní, barevně odlišné dlažby, než je dlažba chodníku</w:t>
      </w:r>
      <w:r w:rsidR="00EB49D0">
        <w:t>. Navrženo z červených dlaždic.</w:t>
      </w:r>
      <w:r w:rsidRPr="000D263B">
        <w:t xml:space="preserve"> </w:t>
      </w:r>
    </w:p>
    <w:p w:rsidR="00490651" w:rsidRDefault="00490651" w:rsidP="00490651">
      <w:pPr>
        <w:pStyle w:val="Odstavecseseznamem"/>
        <w:numPr>
          <w:ilvl w:val="0"/>
          <w:numId w:val="13"/>
        </w:numPr>
        <w:contextualSpacing w:val="0"/>
      </w:pPr>
      <w:r w:rsidRPr="000D263B">
        <w:t>chodník bude vybaven vodící linií-obrubníkem převýšeným 60mm nad povrch dlažby. Stávající chodník je vybaven zvýšeným obrubníkem, přirozenou vodící linií.</w:t>
      </w:r>
    </w:p>
    <w:p w:rsidR="004524AF" w:rsidRPr="004524AF" w:rsidRDefault="004524AF" w:rsidP="004524AF">
      <w:pPr>
        <w:spacing w:after="120"/>
        <w:rPr>
          <w:u w:val="single"/>
        </w:rPr>
      </w:pPr>
      <w:r>
        <w:rPr>
          <w:u w:val="single"/>
        </w:rPr>
        <w:t>Přechod pro chodce přes silnici II/480</w:t>
      </w:r>
    </w:p>
    <w:p w:rsidR="00EB49D0" w:rsidRDefault="00C10B18" w:rsidP="00EB49D0">
      <w:pPr>
        <w:numPr>
          <w:ilvl w:val="0"/>
          <w:numId w:val="13"/>
        </w:numPr>
        <w:textAlignment w:val="auto"/>
      </w:pPr>
      <w:r w:rsidRPr="000D263B">
        <w:t xml:space="preserve">nástupní </w:t>
      </w:r>
      <w:r w:rsidR="00490651">
        <w:t>prostor</w:t>
      </w:r>
      <w:r w:rsidRPr="000D263B">
        <w:t xml:space="preserve"> přechodu pro chodce </w:t>
      </w:r>
      <w:r w:rsidR="00490651">
        <w:t>přes silnici II/480 b</w:t>
      </w:r>
      <w:r w:rsidRPr="000D263B">
        <w:t>u</w:t>
      </w:r>
      <w:r w:rsidR="00490651">
        <w:t>de</w:t>
      </w:r>
      <w:r w:rsidRPr="000D263B">
        <w:t xml:space="preserve"> vybaven varovným a signálním pásem, oba v provedení z reliéf</w:t>
      </w:r>
      <w:r w:rsidR="000D263B">
        <w:t>ní, barevně odlišné dlažby, než je barva dlažby chodníku</w:t>
      </w:r>
      <w:r w:rsidR="00EB49D0">
        <w:t>. Navrženo z červených dlaždic.</w:t>
      </w:r>
      <w:r w:rsidR="00EB49D0" w:rsidRPr="000D263B">
        <w:t xml:space="preserve"> </w:t>
      </w:r>
    </w:p>
    <w:p w:rsidR="00490651" w:rsidRPr="000D263B" w:rsidRDefault="00490651" w:rsidP="00490651">
      <w:pPr>
        <w:numPr>
          <w:ilvl w:val="0"/>
          <w:numId w:val="13"/>
        </w:numPr>
        <w:rPr>
          <w:rFonts w:cs="Arial"/>
        </w:rPr>
      </w:pPr>
      <w:r w:rsidRPr="000D263B">
        <w:rPr>
          <w:rFonts w:cs="Arial"/>
        </w:rPr>
        <w:t xml:space="preserve">signální pás je šířky 800mm a je umístěn na obou stranách chodníku a je situován v ose přecházení. Signální pás je na jedné straně napojen na varovný pás, na straně druhé je ukončen u vodící linie chodníku - zvýšeného obrubníku. </w:t>
      </w:r>
    </w:p>
    <w:p w:rsidR="00490651" w:rsidRDefault="00490651" w:rsidP="00490651">
      <w:pPr>
        <w:numPr>
          <w:ilvl w:val="0"/>
          <w:numId w:val="13"/>
        </w:numPr>
        <w:textAlignment w:val="auto"/>
        <w:rPr>
          <w:rFonts w:cs="Arial"/>
        </w:rPr>
      </w:pPr>
      <w:r w:rsidRPr="000D263B">
        <w:t>varovný pás je šířky 400 mm a je umístěn na styku s vozovkou silnice</w:t>
      </w:r>
      <w:r w:rsidR="00D053A0">
        <w:t>, a to</w:t>
      </w:r>
      <w:r w:rsidRPr="000D263B">
        <w:t xml:space="preserve"> v délce sníženého obrubníku s výškou nižší než 80mm nad pojížděným pásem.</w:t>
      </w:r>
      <w:r w:rsidRPr="000D263B">
        <w:rPr>
          <w:rFonts w:cs="Arial"/>
        </w:rPr>
        <w:t xml:space="preserve"> Varovný pás přesahuje na obě strany signálního pásu o min. 800mm.</w:t>
      </w:r>
    </w:p>
    <w:p w:rsidR="004524AF" w:rsidRDefault="004524AF" w:rsidP="004524AF">
      <w:pPr>
        <w:pStyle w:val="Odstavecseseznamem"/>
        <w:numPr>
          <w:ilvl w:val="0"/>
          <w:numId w:val="13"/>
        </w:numPr>
        <w:contextualSpacing w:val="0"/>
      </w:pPr>
      <w:r w:rsidRPr="000D263B">
        <w:t>povrch signálního a varovného pásu musí mít nezaměnitelnou strukturu a charakter povrchu odlišující se od okolí, musí být vnímatelný bílou holí a nášlapem. Povrch plochy do vzdálenosti min. 250mm od těchto pásů musí být rovinný při dodržení požadavků na protiskluzové vlastnosti a musí být vůči signálnímu a varovnému pásu vizuálně kontrastní (šedá).</w:t>
      </w:r>
    </w:p>
    <w:p w:rsidR="004524AF" w:rsidRPr="004524AF" w:rsidRDefault="004524AF" w:rsidP="004524AF">
      <w:pPr>
        <w:spacing w:after="120"/>
        <w:rPr>
          <w:u w:val="single"/>
        </w:rPr>
      </w:pPr>
      <w:r>
        <w:rPr>
          <w:u w:val="single"/>
        </w:rPr>
        <w:t xml:space="preserve">Místo </w:t>
      </w:r>
      <w:r w:rsidRPr="004524AF">
        <w:rPr>
          <w:u w:val="single"/>
        </w:rPr>
        <w:t xml:space="preserve">pro </w:t>
      </w:r>
      <w:r>
        <w:rPr>
          <w:u w:val="single"/>
        </w:rPr>
        <w:t>přecházení přes ulici Duhovou</w:t>
      </w:r>
    </w:p>
    <w:p w:rsidR="00EB49D0" w:rsidRDefault="00490651" w:rsidP="00EB49D0">
      <w:pPr>
        <w:numPr>
          <w:ilvl w:val="0"/>
          <w:numId w:val="13"/>
        </w:numPr>
        <w:textAlignment w:val="auto"/>
      </w:pPr>
      <w:r w:rsidRPr="000D263B">
        <w:t xml:space="preserve">nástupní </w:t>
      </w:r>
      <w:r>
        <w:t>prostor místa pro přecházení přes ulici Duhovou bude</w:t>
      </w:r>
      <w:r w:rsidRPr="000D263B">
        <w:t xml:space="preserve"> vybaven varovným a signálním pásem, oba v provedení z reliéf</w:t>
      </w:r>
      <w:r>
        <w:t>ní, barevně odlišné dlažby, než je barva dlažby chodníku</w:t>
      </w:r>
      <w:r w:rsidR="00EB49D0">
        <w:t>. Navrženo z červených dlaždic.</w:t>
      </w:r>
      <w:r w:rsidR="00EB49D0" w:rsidRPr="000D263B">
        <w:t xml:space="preserve"> </w:t>
      </w:r>
    </w:p>
    <w:p w:rsidR="004524AF" w:rsidRPr="000D263B" w:rsidRDefault="004524AF" w:rsidP="004524AF">
      <w:pPr>
        <w:numPr>
          <w:ilvl w:val="0"/>
          <w:numId w:val="13"/>
        </w:numPr>
        <w:rPr>
          <w:rFonts w:cs="Arial"/>
        </w:rPr>
      </w:pPr>
      <w:r w:rsidRPr="000D263B">
        <w:rPr>
          <w:rFonts w:cs="Arial"/>
        </w:rPr>
        <w:t xml:space="preserve">signální pás je šířky 800mm </w:t>
      </w:r>
      <w:r w:rsidR="00AE4EF7">
        <w:rPr>
          <w:rFonts w:cs="Arial"/>
        </w:rPr>
        <w:t xml:space="preserve">a </w:t>
      </w:r>
      <w:r w:rsidR="00AE4EF7" w:rsidRPr="000D263B">
        <w:rPr>
          <w:rFonts w:cs="Arial"/>
        </w:rPr>
        <w:t xml:space="preserve">je </w:t>
      </w:r>
      <w:r w:rsidR="00854316">
        <w:rPr>
          <w:rFonts w:cs="Arial"/>
        </w:rPr>
        <w:t>orientován</w:t>
      </w:r>
      <w:r w:rsidR="00AE4EF7" w:rsidRPr="000D263B">
        <w:rPr>
          <w:rFonts w:cs="Arial"/>
        </w:rPr>
        <w:t xml:space="preserve"> v</w:t>
      </w:r>
      <w:r w:rsidR="00AE4EF7">
        <w:rPr>
          <w:rFonts w:cs="Arial"/>
        </w:rPr>
        <w:t xml:space="preserve">e směru </w:t>
      </w:r>
      <w:r w:rsidR="00AE4EF7" w:rsidRPr="000D263B">
        <w:rPr>
          <w:rFonts w:cs="Arial"/>
        </w:rPr>
        <w:t>přecházení</w:t>
      </w:r>
      <w:r w:rsidR="00AE4EF7">
        <w:rPr>
          <w:rFonts w:cs="Arial"/>
        </w:rPr>
        <w:t>.</w:t>
      </w:r>
      <w:r w:rsidRPr="000D263B">
        <w:rPr>
          <w:rFonts w:cs="Arial"/>
        </w:rPr>
        <w:t xml:space="preserve"> Signální pás je </w:t>
      </w:r>
      <w:r>
        <w:rPr>
          <w:rFonts w:cs="Arial"/>
        </w:rPr>
        <w:t xml:space="preserve">odsazen od varovného pásu o </w:t>
      </w:r>
      <w:r w:rsidR="0068510B">
        <w:rPr>
          <w:rFonts w:cs="Arial"/>
        </w:rPr>
        <w:t>30</w:t>
      </w:r>
      <w:r>
        <w:rPr>
          <w:rFonts w:cs="Arial"/>
        </w:rPr>
        <w:t>0</w:t>
      </w:r>
      <w:r w:rsidR="0068510B">
        <w:rPr>
          <w:rFonts w:cs="Arial"/>
        </w:rPr>
        <w:t>-500</w:t>
      </w:r>
      <w:r>
        <w:rPr>
          <w:rFonts w:cs="Arial"/>
        </w:rPr>
        <w:t>mm</w:t>
      </w:r>
      <w:r w:rsidRPr="000D263B">
        <w:rPr>
          <w:rFonts w:cs="Arial"/>
        </w:rPr>
        <w:t xml:space="preserve">, na druhé </w:t>
      </w:r>
      <w:r w:rsidR="008B300C" w:rsidRPr="000D263B">
        <w:rPr>
          <w:rFonts w:cs="Arial"/>
        </w:rPr>
        <w:t xml:space="preserve">straně </w:t>
      </w:r>
      <w:r w:rsidRPr="000D263B">
        <w:rPr>
          <w:rFonts w:cs="Arial"/>
        </w:rPr>
        <w:t xml:space="preserve">je ukončen u vodící linie chodníku - zvýšeného obrubníku. </w:t>
      </w:r>
    </w:p>
    <w:p w:rsidR="004524AF" w:rsidRDefault="004524AF" w:rsidP="004524AF">
      <w:pPr>
        <w:numPr>
          <w:ilvl w:val="0"/>
          <w:numId w:val="13"/>
        </w:numPr>
        <w:textAlignment w:val="auto"/>
        <w:rPr>
          <w:rFonts w:cs="Arial"/>
        </w:rPr>
      </w:pPr>
      <w:r w:rsidRPr="000D263B">
        <w:t xml:space="preserve">varovný pás je šířky 400 mm a je umístěn na styku s vozovkou </w:t>
      </w:r>
      <w:r w:rsidR="00AE4EF7">
        <w:t>komunikace</w:t>
      </w:r>
      <w:r>
        <w:t>,</w:t>
      </w:r>
      <w:r w:rsidRPr="000D263B">
        <w:t xml:space="preserve"> </w:t>
      </w:r>
      <w:r w:rsidR="00C34D85">
        <w:t xml:space="preserve">a to </w:t>
      </w:r>
      <w:r w:rsidRPr="000D263B">
        <w:t>v délce sníženého obrubníku s výškou nižší než 80mm nad pojížděným pásem.</w:t>
      </w:r>
      <w:r w:rsidRPr="000D263B">
        <w:rPr>
          <w:rFonts w:cs="Arial"/>
        </w:rPr>
        <w:t xml:space="preserve"> Varovný pás přesahuje </w:t>
      </w:r>
      <w:r w:rsidR="00AE4EF7">
        <w:rPr>
          <w:rFonts w:cs="Arial"/>
        </w:rPr>
        <w:t>jednu stranu</w:t>
      </w:r>
      <w:r w:rsidRPr="000D263B">
        <w:rPr>
          <w:rFonts w:cs="Arial"/>
        </w:rPr>
        <w:t xml:space="preserve"> signálního pásu o min. 800mm.</w:t>
      </w:r>
      <w:r w:rsidR="00AE4EF7">
        <w:rPr>
          <w:rFonts w:cs="Arial"/>
        </w:rPr>
        <w:t xml:space="preserve"> Na druhé straně je ukončen u obrubníku chodníku.</w:t>
      </w:r>
    </w:p>
    <w:p w:rsidR="00490651" w:rsidRPr="000D263B" w:rsidRDefault="00490651" w:rsidP="00490651">
      <w:pPr>
        <w:pStyle w:val="Odstavecseseznamem"/>
        <w:numPr>
          <w:ilvl w:val="0"/>
          <w:numId w:val="13"/>
        </w:numPr>
        <w:contextualSpacing w:val="0"/>
      </w:pPr>
      <w:r w:rsidRPr="000D263B">
        <w:t>povrch signálního a varovného pásu musí mít nezaměnitelnou strukturu a charakter povrchu odlišující se od okolí, musí být vnímatelný bílou holí a nášlapem. Povrch plochy do vzdálenosti min. 250mm od těchto pásů musí být rovinný při dodržení požadavků na protiskluzové vlastnosti a musí být vůči signálnímu a varovnému pásu vizuálně kontrastní (šedá).</w:t>
      </w:r>
    </w:p>
    <w:p w:rsidR="00C10B18" w:rsidRPr="00B75CF3" w:rsidRDefault="00C10B18" w:rsidP="00C10B18">
      <w:pPr>
        <w:pStyle w:val="Nadpis2"/>
        <w:numPr>
          <w:ilvl w:val="0"/>
          <w:numId w:val="12"/>
        </w:numPr>
        <w:tabs>
          <w:tab w:val="num" w:pos="567"/>
        </w:tabs>
        <w:rPr>
          <w:u w:val="none"/>
        </w:rPr>
      </w:pPr>
      <w:bookmarkStart w:id="4" w:name="_Toc501722609"/>
      <w:bookmarkStart w:id="5" w:name="_Toc509490043"/>
      <w:r w:rsidRPr="00B75CF3">
        <w:rPr>
          <w:u w:val="none"/>
        </w:rPr>
        <w:t>Zásady řešení pro osoby se sluchovým postižením</w:t>
      </w:r>
      <w:bookmarkEnd w:id="4"/>
      <w:bookmarkEnd w:id="5"/>
    </w:p>
    <w:p w:rsidR="00C10B18" w:rsidRPr="00B75CF3" w:rsidRDefault="00C10B18" w:rsidP="00C10B18">
      <w:r w:rsidRPr="00B75CF3">
        <w:t>Není řešeno.</w:t>
      </w:r>
    </w:p>
    <w:p w:rsidR="00C10B18" w:rsidRPr="00B75CF3" w:rsidRDefault="00C10B18" w:rsidP="00C10B18">
      <w:pPr>
        <w:pStyle w:val="Nadpis2"/>
        <w:numPr>
          <w:ilvl w:val="0"/>
          <w:numId w:val="12"/>
        </w:numPr>
        <w:tabs>
          <w:tab w:val="num" w:pos="567"/>
        </w:tabs>
        <w:rPr>
          <w:u w:val="none"/>
        </w:rPr>
      </w:pPr>
      <w:bookmarkStart w:id="6" w:name="_Toc501722610"/>
      <w:bookmarkStart w:id="7" w:name="_Toc509490044"/>
      <w:r w:rsidRPr="00B75CF3">
        <w:rPr>
          <w:u w:val="none"/>
        </w:rPr>
        <w:t>Použití stavebních výrobků pro bezbariérové řešení</w:t>
      </w:r>
      <w:bookmarkEnd w:id="6"/>
      <w:bookmarkEnd w:id="7"/>
    </w:p>
    <w:p w:rsidR="00C10B18" w:rsidRDefault="00C10B18" w:rsidP="00C10B18">
      <w:pPr>
        <w:pStyle w:val="Odstavecseseznamem"/>
        <w:ind w:left="0"/>
        <w:contextualSpacing w:val="0"/>
      </w:pPr>
      <w:r w:rsidRPr="00B75CF3">
        <w:t xml:space="preserve">Pro reliéfní dlažbu varovných pásu bude použita betonová zámková dlažba, která splňuje požadavky TN TZÚS </w:t>
      </w:r>
      <w:proofErr w:type="gramStart"/>
      <w:r w:rsidRPr="00B75CF3">
        <w:t>12.03.04</w:t>
      </w:r>
      <w:proofErr w:type="gramEnd"/>
      <w:r w:rsidRPr="00B75CF3">
        <w:t xml:space="preserve"> a NV č.163/2002 Sb.</w:t>
      </w:r>
      <w:r>
        <w:t xml:space="preserve"> </w:t>
      </w:r>
    </w:p>
    <w:p w:rsidR="00C10B18" w:rsidRDefault="00C10B18" w:rsidP="00F757F6"/>
    <w:p w:rsidR="00C10B18" w:rsidRDefault="00C10B18" w:rsidP="00F757F6"/>
    <w:p w:rsidR="00C10B18" w:rsidRDefault="00C10B18" w:rsidP="00F757F6">
      <w:r>
        <w:rPr>
          <w:noProof/>
        </w:rPr>
        <w:lastRenderedPageBreak/>
        <w:drawing>
          <wp:inline distT="0" distB="0" distL="0" distR="0">
            <wp:extent cx="5760720" cy="8191789"/>
            <wp:effectExtent l="19050" t="0" r="0" b="0"/>
            <wp:docPr id="1" name="obrázek 1" descr="detail_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etail_3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917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D4BE7" w:rsidRDefault="00C10B18">
      <w:bookmarkStart w:id="8" w:name="_GoBack"/>
      <w:bookmarkEnd w:id="8"/>
      <w:r>
        <w:rPr>
          <w:noProof/>
        </w:rPr>
        <w:lastRenderedPageBreak/>
        <w:drawing>
          <wp:inline distT="0" distB="0" distL="0" distR="0">
            <wp:extent cx="5760720" cy="8210626"/>
            <wp:effectExtent l="19050" t="0" r="0" b="0"/>
            <wp:docPr id="4" name="obrázek 4" descr="misto_prechazen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isto_prechazeni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2106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CD4BE7" w:rsidSect="00490651">
      <w:headerReference w:type="default" r:id="rId9"/>
      <w:pgSz w:w="11906" w:h="16838"/>
      <w:pgMar w:top="1417" w:right="1417" w:bottom="1417" w:left="1417" w:header="708" w:footer="708" w:gutter="0"/>
      <w:pgNumType w:start="2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F31C7" w:rsidRDefault="009F31C7" w:rsidP="00490651">
      <w:pPr>
        <w:spacing w:before="0"/>
      </w:pPr>
      <w:r>
        <w:separator/>
      </w:r>
    </w:p>
  </w:endnote>
  <w:endnote w:type="continuationSeparator" w:id="0">
    <w:p w:rsidR="009F31C7" w:rsidRDefault="009F31C7" w:rsidP="00490651">
      <w:pPr>
        <w:spacing w:before="0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F31C7" w:rsidRDefault="009F31C7" w:rsidP="00490651">
      <w:pPr>
        <w:spacing w:before="0"/>
      </w:pPr>
      <w:r>
        <w:separator/>
      </w:r>
    </w:p>
  </w:footnote>
  <w:footnote w:type="continuationSeparator" w:id="0">
    <w:p w:rsidR="009F31C7" w:rsidRDefault="009F31C7" w:rsidP="00490651">
      <w:pPr>
        <w:spacing w:before="0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46438751"/>
      <w:docPartObj>
        <w:docPartGallery w:val="Page Numbers (Top of Page)"/>
        <w:docPartUnique/>
      </w:docPartObj>
    </w:sdtPr>
    <w:sdtContent>
      <w:p w:rsidR="00490651" w:rsidRDefault="00F577EA">
        <w:pPr>
          <w:pStyle w:val="Zhlav"/>
          <w:jc w:val="center"/>
        </w:pPr>
        <w:fldSimple w:instr=" PAGE   \* MERGEFORMAT ">
          <w:r w:rsidR="00EB49D0">
            <w:rPr>
              <w:noProof/>
            </w:rPr>
            <w:t>2</w:t>
          </w:r>
        </w:fldSimple>
      </w:p>
    </w:sdtContent>
  </w:sdt>
  <w:p w:rsidR="00490651" w:rsidRDefault="00490651">
    <w:pPr>
      <w:pStyle w:val="Zhlav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B"/>
    <w:multiLevelType w:val="multilevel"/>
    <w:tmpl w:val="791EFAFC"/>
    <w:lvl w:ilvl="0">
      <w:start w:val="1"/>
      <w:numFmt w:val="decimal"/>
      <w:pStyle w:val="Nadpis1"/>
      <w:lvlText w:val="%1"/>
      <w:legacy w:legacy="1" w:legacySpace="680" w:legacyIndent="0"/>
      <w:lvlJc w:val="left"/>
      <w:rPr>
        <w:u w:val="none"/>
      </w:rPr>
    </w:lvl>
    <w:lvl w:ilvl="1">
      <w:start w:val="1"/>
      <w:numFmt w:val="decimal"/>
      <w:pStyle w:val="Nadpis2"/>
      <w:lvlText w:val="%1.%2"/>
      <w:legacy w:legacy="1" w:legacySpace="510" w:legacyIndent="0"/>
      <w:lvlJc w:val="left"/>
      <w:rPr>
        <w:u w:val="none"/>
      </w:rPr>
    </w:lvl>
    <w:lvl w:ilvl="2">
      <w:start w:val="1"/>
      <w:numFmt w:val="decimal"/>
      <w:pStyle w:val="Nadpis3"/>
      <w:lvlText w:val="%1.%2.%3"/>
      <w:legacy w:legacy="1" w:legacySpace="397" w:legacyIndent="0"/>
      <w:lvlJc w:val="left"/>
      <w:rPr>
        <w:u w:val="none"/>
      </w:rPr>
    </w:lvl>
    <w:lvl w:ilvl="3">
      <w:start w:val="1"/>
      <w:numFmt w:val="decimal"/>
      <w:pStyle w:val="Nadpis4"/>
      <w:lvlText w:val="%1.%2.%3.%4"/>
      <w:legacy w:legacy="1" w:legacySpace="227" w:legacyIndent="0"/>
      <w:lvlJc w:val="left"/>
      <w:rPr>
        <w:u w:val="none"/>
      </w:rPr>
    </w:lvl>
    <w:lvl w:ilvl="4">
      <w:start w:val="1"/>
      <w:numFmt w:val="decimal"/>
      <w:pStyle w:val="Nadpis5"/>
      <w:lvlText w:val="%1.%2.%3.%4.%5"/>
      <w:legacy w:legacy="1" w:legacySpace="57" w:legacyIndent="0"/>
      <w:lvlJc w:val="left"/>
      <w:rPr>
        <w:u w:val="none"/>
      </w:rPr>
    </w:lvl>
    <w:lvl w:ilvl="5">
      <w:start w:val="1"/>
      <w:numFmt w:val="decimal"/>
      <w:pStyle w:val="Nadpis6"/>
      <w:lvlText w:val="%1.%2.%3.%4.%5.%6"/>
      <w:legacy w:legacy="1" w:legacySpace="144" w:legacyIndent="0"/>
      <w:lvlJc w:val="left"/>
    </w:lvl>
    <w:lvl w:ilvl="6">
      <w:start w:val="1"/>
      <w:numFmt w:val="decimal"/>
      <w:pStyle w:val="Nadpis7"/>
      <w:lvlText w:val="%1.%2.%3.%4.%5.%6.%7"/>
      <w:legacy w:legacy="1" w:legacySpace="144" w:legacyIndent="0"/>
      <w:lvlJc w:val="left"/>
    </w:lvl>
    <w:lvl w:ilvl="7">
      <w:start w:val="1"/>
      <w:numFmt w:val="decimal"/>
      <w:pStyle w:val="Nadpis8"/>
      <w:lvlText w:val="%1.%2.%3.%4.%5.%6.%7.%8"/>
      <w:legacy w:legacy="1" w:legacySpace="144" w:legacyIndent="0"/>
      <w:lvlJc w:val="left"/>
    </w:lvl>
    <w:lvl w:ilvl="8">
      <w:start w:val="1"/>
      <w:numFmt w:val="decimal"/>
      <w:pStyle w:val="Nadpis9"/>
      <w:lvlText w:val="%1.%2.%3.%4.%5.%6.%7.%8.%9"/>
      <w:legacy w:legacy="1" w:legacySpace="144" w:legacyIndent="0"/>
      <w:lvlJc w:val="left"/>
    </w:lvl>
  </w:abstractNum>
  <w:abstractNum w:abstractNumId="1">
    <w:nsid w:val="42A878C5"/>
    <w:multiLevelType w:val="hybridMultilevel"/>
    <w:tmpl w:val="4FBE990C"/>
    <w:lvl w:ilvl="0" w:tplc="C84A64EA">
      <w:start w:val="1"/>
      <w:numFmt w:val="lowerLetter"/>
      <w:lvlText w:val="%1)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42D2224A"/>
    <w:multiLevelType w:val="hybridMultilevel"/>
    <w:tmpl w:val="66E28B16"/>
    <w:lvl w:ilvl="0" w:tplc="195A129A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>
    <w:nsid w:val="44D4439F"/>
    <w:multiLevelType w:val="hybridMultilevel"/>
    <w:tmpl w:val="C914B438"/>
    <w:lvl w:ilvl="0" w:tplc="195A129A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>
    <w:nsid w:val="4BFD78CF"/>
    <w:multiLevelType w:val="hybridMultilevel"/>
    <w:tmpl w:val="519E9822"/>
    <w:lvl w:ilvl="0" w:tplc="195A129A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6EBD0D24"/>
    <w:multiLevelType w:val="hybridMultilevel"/>
    <w:tmpl w:val="C478E100"/>
    <w:lvl w:ilvl="0" w:tplc="F7B6AE6A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0"/>
  </w:num>
  <w:num w:numId="3">
    <w:abstractNumId w:val="0"/>
  </w:num>
  <w:num w:numId="4">
    <w:abstractNumId w:val="0"/>
  </w:num>
  <w:num w:numId="5">
    <w:abstractNumId w:val="0"/>
  </w:num>
  <w:num w:numId="6">
    <w:abstractNumId w:val="0"/>
  </w:num>
  <w:num w:numId="7">
    <w:abstractNumId w:val="0"/>
  </w:num>
  <w:num w:numId="8">
    <w:abstractNumId w:val="0"/>
  </w:num>
  <w:num w:numId="9">
    <w:abstractNumId w:val="0"/>
  </w:num>
  <w:num w:numId="10">
    <w:abstractNumId w:val="4"/>
  </w:num>
  <w:num w:numId="11">
    <w:abstractNumId w:val="5"/>
  </w:num>
  <w:num w:numId="12">
    <w:abstractNumId w:val="1"/>
  </w:num>
  <w:num w:numId="13">
    <w:abstractNumId w:val="2"/>
  </w:num>
  <w:num w:numId="14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E85F16"/>
    <w:rsid w:val="000367C6"/>
    <w:rsid w:val="000D263B"/>
    <w:rsid w:val="0012727A"/>
    <w:rsid w:val="002044C8"/>
    <w:rsid w:val="00384F5A"/>
    <w:rsid w:val="00392824"/>
    <w:rsid w:val="00434F5C"/>
    <w:rsid w:val="004524AF"/>
    <w:rsid w:val="00490651"/>
    <w:rsid w:val="00490E13"/>
    <w:rsid w:val="00586E32"/>
    <w:rsid w:val="00624FEE"/>
    <w:rsid w:val="0068510B"/>
    <w:rsid w:val="006D39F5"/>
    <w:rsid w:val="007068C9"/>
    <w:rsid w:val="007264D1"/>
    <w:rsid w:val="00730EB4"/>
    <w:rsid w:val="00765ADA"/>
    <w:rsid w:val="007B2973"/>
    <w:rsid w:val="00820366"/>
    <w:rsid w:val="00841AF2"/>
    <w:rsid w:val="00854316"/>
    <w:rsid w:val="00877CCE"/>
    <w:rsid w:val="0088465D"/>
    <w:rsid w:val="008B300C"/>
    <w:rsid w:val="009E3A5F"/>
    <w:rsid w:val="009F31C7"/>
    <w:rsid w:val="00A307E4"/>
    <w:rsid w:val="00AE4EF7"/>
    <w:rsid w:val="00AE516E"/>
    <w:rsid w:val="00B45BF3"/>
    <w:rsid w:val="00B75CF3"/>
    <w:rsid w:val="00BB5BE9"/>
    <w:rsid w:val="00BC02DD"/>
    <w:rsid w:val="00BC6012"/>
    <w:rsid w:val="00BD1D27"/>
    <w:rsid w:val="00C10B18"/>
    <w:rsid w:val="00C34D85"/>
    <w:rsid w:val="00C54657"/>
    <w:rsid w:val="00C73180"/>
    <w:rsid w:val="00CD4BE7"/>
    <w:rsid w:val="00D053A0"/>
    <w:rsid w:val="00D15FEC"/>
    <w:rsid w:val="00D344A5"/>
    <w:rsid w:val="00D623DE"/>
    <w:rsid w:val="00D72DD6"/>
    <w:rsid w:val="00D7622C"/>
    <w:rsid w:val="00DB1B2A"/>
    <w:rsid w:val="00E00381"/>
    <w:rsid w:val="00E85F16"/>
    <w:rsid w:val="00E94B60"/>
    <w:rsid w:val="00EA727D"/>
    <w:rsid w:val="00EB49D0"/>
    <w:rsid w:val="00F23171"/>
    <w:rsid w:val="00F56756"/>
    <w:rsid w:val="00F577EA"/>
    <w:rsid w:val="00F757F6"/>
    <w:rsid w:val="00F75A65"/>
    <w:rsid w:val="00F80634"/>
    <w:rsid w:val="00FC1BA4"/>
    <w:rsid w:val="00FC7B3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E85F16"/>
    <w:pPr>
      <w:overflowPunct w:val="0"/>
      <w:autoSpaceDE w:val="0"/>
      <w:autoSpaceDN w:val="0"/>
      <w:adjustRightInd w:val="0"/>
      <w:spacing w:before="120"/>
      <w:jc w:val="both"/>
      <w:textAlignment w:val="baseline"/>
    </w:pPr>
    <w:rPr>
      <w:rFonts w:ascii="Arial" w:hAnsi="Arial"/>
      <w:sz w:val="22"/>
    </w:rPr>
  </w:style>
  <w:style w:type="paragraph" w:styleId="Nadpis1">
    <w:name w:val="heading 1"/>
    <w:aliases w:val="F1,Kapitola"/>
    <w:basedOn w:val="Normln"/>
    <w:next w:val="Normln"/>
    <w:link w:val="Nadpis1Char"/>
    <w:qFormat/>
    <w:rsid w:val="00BC02DD"/>
    <w:pPr>
      <w:keepNext/>
      <w:numPr>
        <w:numId w:val="9"/>
      </w:numPr>
      <w:spacing w:before="240" w:after="60"/>
      <w:outlineLvl w:val="0"/>
    </w:pPr>
    <w:rPr>
      <w:b/>
      <w:caps/>
      <w:kern w:val="28"/>
      <w:u w:val="single"/>
    </w:rPr>
  </w:style>
  <w:style w:type="paragraph" w:styleId="Nadpis2">
    <w:name w:val="heading 2"/>
    <w:aliases w:val="F2,Podkapitola"/>
    <w:basedOn w:val="Normln"/>
    <w:next w:val="Normln"/>
    <w:link w:val="Nadpis2Char"/>
    <w:qFormat/>
    <w:rsid w:val="00BC02DD"/>
    <w:pPr>
      <w:keepNext/>
      <w:numPr>
        <w:ilvl w:val="1"/>
        <w:numId w:val="9"/>
      </w:numPr>
      <w:spacing w:before="240" w:after="60"/>
      <w:outlineLvl w:val="1"/>
    </w:pPr>
    <w:rPr>
      <w:b/>
      <w:u w:val="single"/>
    </w:rPr>
  </w:style>
  <w:style w:type="paragraph" w:styleId="Nadpis3">
    <w:name w:val="heading 3"/>
    <w:aliases w:val="F3,Článek,h3"/>
    <w:basedOn w:val="Normln"/>
    <w:next w:val="Normln"/>
    <w:link w:val="Nadpis3Char"/>
    <w:qFormat/>
    <w:rsid w:val="00BC02DD"/>
    <w:pPr>
      <w:keepNext/>
      <w:numPr>
        <w:ilvl w:val="2"/>
        <w:numId w:val="9"/>
      </w:numPr>
      <w:spacing w:before="240" w:after="60"/>
      <w:outlineLvl w:val="2"/>
    </w:pPr>
    <w:rPr>
      <w:u w:val="single"/>
    </w:rPr>
  </w:style>
  <w:style w:type="paragraph" w:styleId="Nadpis4">
    <w:name w:val="heading 4"/>
    <w:aliases w:val="_"/>
    <w:basedOn w:val="Normln"/>
    <w:next w:val="Normln"/>
    <w:link w:val="Nadpis4Char"/>
    <w:qFormat/>
    <w:rsid w:val="00BC02DD"/>
    <w:pPr>
      <w:keepNext/>
      <w:numPr>
        <w:ilvl w:val="3"/>
        <w:numId w:val="9"/>
      </w:numPr>
      <w:spacing w:before="240" w:after="60"/>
      <w:outlineLvl w:val="3"/>
    </w:pPr>
  </w:style>
  <w:style w:type="paragraph" w:styleId="Nadpis5">
    <w:name w:val="heading 5"/>
    <w:aliases w:val="a),a) F5,Nadpis5"/>
    <w:basedOn w:val="Normln"/>
    <w:next w:val="Normln"/>
    <w:link w:val="Nadpis5Char"/>
    <w:qFormat/>
    <w:rsid w:val="00BC02DD"/>
    <w:pPr>
      <w:numPr>
        <w:ilvl w:val="4"/>
        <w:numId w:val="9"/>
      </w:numPr>
      <w:spacing w:before="240" w:after="60"/>
      <w:outlineLvl w:val="4"/>
    </w:pPr>
    <w:rPr>
      <w:i/>
    </w:rPr>
  </w:style>
  <w:style w:type="paragraph" w:styleId="Nadpis6">
    <w:name w:val="heading 6"/>
    <w:aliases w:val=", F6"/>
    <w:basedOn w:val="Normln"/>
    <w:next w:val="Normln"/>
    <w:link w:val="Nadpis6Char"/>
    <w:qFormat/>
    <w:rsid w:val="00BC02DD"/>
    <w:pPr>
      <w:numPr>
        <w:ilvl w:val="5"/>
        <w:numId w:val="9"/>
      </w:numPr>
      <w:spacing w:before="240" w:after="60"/>
      <w:outlineLvl w:val="5"/>
    </w:pPr>
    <w:rPr>
      <w:rFonts w:ascii="Times New Roman" w:hAnsi="Times New Roman"/>
      <w:i/>
    </w:rPr>
  </w:style>
  <w:style w:type="paragraph" w:styleId="Nadpis7">
    <w:name w:val="heading 7"/>
    <w:basedOn w:val="Normln"/>
    <w:next w:val="Normln"/>
    <w:link w:val="Nadpis7Char"/>
    <w:qFormat/>
    <w:rsid w:val="00BC02DD"/>
    <w:pPr>
      <w:numPr>
        <w:ilvl w:val="6"/>
        <w:numId w:val="9"/>
      </w:numPr>
      <w:spacing w:before="240" w:after="60"/>
      <w:outlineLvl w:val="6"/>
    </w:pPr>
    <w:rPr>
      <w:sz w:val="20"/>
    </w:rPr>
  </w:style>
  <w:style w:type="paragraph" w:styleId="Nadpis8">
    <w:name w:val="heading 8"/>
    <w:basedOn w:val="Normln"/>
    <w:next w:val="Normln"/>
    <w:link w:val="Nadpis8Char"/>
    <w:qFormat/>
    <w:rsid w:val="00BC02DD"/>
    <w:pPr>
      <w:numPr>
        <w:ilvl w:val="7"/>
        <w:numId w:val="9"/>
      </w:numPr>
      <w:spacing w:before="240" w:after="60"/>
      <w:outlineLvl w:val="7"/>
    </w:pPr>
    <w:rPr>
      <w:i/>
      <w:sz w:val="20"/>
    </w:rPr>
  </w:style>
  <w:style w:type="paragraph" w:styleId="Nadpis9">
    <w:name w:val="heading 9"/>
    <w:aliases w:val="Normální_"/>
    <w:basedOn w:val="Normln"/>
    <w:next w:val="Normln"/>
    <w:link w:val="Nadpis9Char"/>
    <w:qFormat/>
    <w:rsid w:val="00BC02DD"/>
    <w:pPr>
      <w:numPr>
        <w:ilvl w:val="8"/>
        <w:numId w:val="9"/>
      </w:numPr>
      <w:spacing w:before="240" w:after="60"/>
      <w:outlineLvl w:val="8"/>
    </w:pPr>
    <w:rPr>
      <w:b/>
      <w:i/>
      <w:sz w:val="1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aliases w:val="F1 Char,Kapitola Char"/>
    <w:basedOn w:val="Standardnpsmoodstavce"/>
    <w:link w:val="Nadpis1"/>
    <w:rsid w:val="00BC02DD"/>
    <w:rPr>
      <w:rFonts w:ascii="Arial" w:hAnsi="Arial"/>
      <w:b/>
      <w:caps/>
      <w:kern w:val="28"/>
      <w:sz w:val="22"/>
      <w:u w:val="single"/>
    </w:rPr>
  </w:style>
  <w:style w:type="character" w:customStyle="1" w:styleId="Nadpis2Char">
    <w:name w:val="Nadpis 2 Char"/>
    <w:aliases w:val="F2 Char,Podkapitola Char"/>
    <w:basedOn w:val="Standardnpsmoodstavce"/>
    <w:link w:val="Nadpis2"/>
    <w:rsid w:val="00BC02DD"/>
    <w:rPr>
      <w:rFonts w:ascii="Arial" w:hAnsi="Arial"/>
      <w:b/>
      <w:sz w:val="22"/>
      <w:u w:val="single"/>
    </w:rPr>
  </w:style>
  <w:style w:type="character" w:customStyle="1" w:styleId="Nadpis3Char">
    <w:name w:val="Nadpis 3 Char"/>
    <w:aliases w:val="F3 Char,Článek Char,h3 Char"/>
    <w:basedOn w:val="Standardnpsmoodstavce"/>
    <w:link w:val="Nadpis3"/>
    <w:rsid w:val="00BC02DD"/>
    <w:rPr>
      <w:rFonts w:ascii="Arial" w:hAnsi="Arial"/>
      <w:sz w:val="22"/>
      <w:u w:val="single"/>
    </w:rPr>
  </w:style>
  <w:style w:type="character" w:customStyle="1" w:styleId="Nadpis4Char">
    <w:name w:val="Nadpis 4 Char"/>
    <w:aliases w:val="_ Char"/>
    <w:basedOn w:val="Standardnpsmoodstavce"/>
    <w:link w:val="Nadpis4"/>
    <w:rsid w:val="00BC02DD"/>
    <w:rPr>
      <w:rFonts w:ascii="Arial" w:hAnsi="Arial"/>
      <w:sz w:val="22"/>
    </w:rPr>
  </w:style>
  <w:style w:type="character" w:customStyle="1" w:styleId="Nadpis5Char">
    <w:name w:val="Nadpis 5 Char"/>
    <w:aliases w:val="a) Char,a) F5 Char,Nadpis5 Char"/>
    <w:basedOn w:val="Standardnpsmoodstavce"/>
    <w:link w:val="Nadpis5"/>
    <w:rsid w:val="00BC02DD"/>
    <w:rPr>
      <w:rFonts w:ascii="Arial" w:hAnsi="Arial"/>
      <w:i/>
      <w:sz w:val="22"/>
    </w:rPr>
  </w:style>
  <w:style w:type="character" w:customStyle="1" w:styleId="Nadpis6Char">
    <w:name w:val="Nadpis 6 Char"/>
    <w:aliases w:val=" Char, F6 Char"/>
    <w:basedOn w:val="Standardnpsmoodstavce"/>
    <w:link w:val="Nadpis6"/>
    <w:rsid w:val="00BC02DD"/>
    <w:rPr>
      <w:i/>
      <w:sz w:val="22"/>
    </w:rPr>
  </w:style>
  <w:style w:type="character" w:customStyle="1" w:styleId="Nadpis7Char">
    <w:name w:val="Nadpis 7 Char"/>
    <w:basedOn w:val="Standardnpsmoodstavce"/>
    <w:link w:val="Nadpis7"/>
    <w:rsid w:val="00BC02DD"/>
    <w:rPr>
      <w:rFonts w:ascii="Arial" w:hAnsi="Arial"/>
    </w:rPr>
  </w:style>
  <w:style w:type="character" w:customStyle="1" w:styleId="Nadpis8Char">
    <w:name w:val="Nadpis 8 Char"/>
    <w:basedOn w:val="Standardnpsmoodstavce"/>
    <w:link w:val="Nadpis8"/>
    <w:rsid w:val="00BC02DD"/>
    <w:rPr>
      <w:rFonts w:ascii="Arial" w:hAnsi="Arial"/>
      <w:i/>
    </w:rPr>
  </w:style>
  <w:style w:type="character" w:customStyle="1" w:styleId="Nadpis9Char">
    <w:name w:val="Nadpis 9 Char"/>
    <w:aliases w:val="Normální_ Char"/>
    <w:basedOn w:val="Standardnpsmoodstavce"/>
    <w:link w:val="Nadpis9"/>
    <w:rsid w:val="00BC02DD"/>
    <w:rPr>
      <w:rFonts w:ascii="Arial" w:hAnsi="Arial"/>
      <w:b/>
      <w:i/>
      <w:sz w:val="18"/>
    </w:rPr>
  </w:style>
  <w:style w:type="paragraph" w:styleId="Odstavecseseznamem">
    <w:name w:val="List Paragraph"/>
    <w:basedOn w:val="Normln"/>
    <w:uiPriority w:val="34"/>
    <w:qFormat/>
    <w:rsid w:val="00384F5A"/>
    <w:pPr>
      <w:ind w:left="720"/>
      <w:contextualSpacing/>
    </w:pPr>
  </w:style>
  <w:style w:type="paragraph" w:styleId="Obsah2">
    <w:name w:val="toc 2"/>
    <w:basedOn w:val="Normln"/>
    <w:next w:val="Normln"/>
    <w:autoRedefine/>
    <w:uiPriority w:val="39"/>
    <w:rsid w:val="00C10B18"/>
    <w:pPr>
      <w:tabs>
        <w:tab w:val="left" w:pos="851"/>
        <w:tab w:val="left" w:pos="1100"/>
        <w:tab w:val="right" w:leader="dot" w:pos="9498"/>
      </w:tabs>
      <w:ind w:left="851" w:hanging="851"/>
    </w:pPr>
    <w:rPr>
      <w:b/>
      <w:noProof/>
    </w:rPr>
  </w:style>
  <w:style w:type="paragraph" w:styleId="Obsah3">
    <w:name w:val="toc 3"/>
    <w:basedOn w:val="Normln"/>
    <w:next w:val="Normln"/>
    <w:autoRedefine/>
    <w:uiPriority w:val="39"/>
    <w:rsid w:val="00C10B18"/>
    <w:pPr>
      <w:tabs>
        <w:tab w:val="left" w:pos="851"/>
        <w:tab w:val="right" w:leader="dot" w:pos="9498"/>
      </w:tabs>
    </w:pPr>
    <w:rPr>
      <w:noProof/>
      <w:szCs w:val="22"/>
    </w:rPr>
  </w:style>
  <w:style w:type="character" w:styleId="Hypertextovodkaz">
    <w:name w:val="Hyperlink"/>
    <w:basedOn w:val="Standardnpsmoodstavce"/>
    <w:uiPriority w:val="99"/>
    <w:rsid w:val="00C10B18"/>
    <w:rPr>
      <w:color w:val="0000FF"/>
      <w:u w:val="single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C10B18"/>
    <w:pPr>
      <w:spacing w:before="0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C10B18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unhideWhenUsed/>
    <w:rsid w:val="00490651"/>
    <w:pPr>
      <w:tabs>
        <w:tab w:val="center" w:pos="4536"/>
        <w:tab w:val="right" w:pos="9072"/>
      </w:tabs>
      <w:spacing w:before="0"/>
    </w:pPr>
  </w:style>
  <w:style w:type="character" w:customStyle="1" w:styleId="ZhlavChar">
    <w:name w:val="Záhlaví Char"/>
    <w:basedOn w:val="Standardnpsmoodstavce"/>
    <w:link w:val="Zhlav"/>
    <w:uiPriority w:val="99"/>
    <w:rsid w:val="00490651"/>
    <w:rPr>
      <w:rFonts w:ascii="Arial" w:hAnsi="Arial"/>
      <w:sz w:val="22"/>
    </w:rPr>
  </w:style>
  <w:style w:type="paragraph" w:styleId="Zpat">
    <w:name w:val="footer"/>
    <w:basedOn w:val="Normln"/>
    <w:link w:val="ZpatChar"/>
    <w:uiPriority w:val="99"/>
    <w:semiHidden/>
    <w:unhideWhenUsed/>
    <w:rsid w:val="00490651"/>
    <w:pPr>
      <w:tabs>
        <w:tab w:val="center" w:pos="4536"/>
        <w:tab w:val="right" w:pos="9072"/>
      </w:tabs>
      <w:spacing w:before="0"/>
    </w:pPr>
  </w:style>
  <w:style w:type="character" w:customStyle="1" w:styleId="ZpatChar">
    <w:name w:val="Zápatí Char"/>
    <w:basedOn w:val="Standardnpsmoodstavce"/>
    <w:link w:val="Zpat"/>
    <w:uiPriority w:val="99"/>
    <w:semiHidden/>
    <w:rsid w:val="00490651"/>
    <w:rPr>
      <w:rFonts w:ascii="Arial" w:hAnsi="Arial"/>
      <w:sz w:val="2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146</TotalTime>
  <Pages>5</Pages>
  <Words>919</Words>
  <Characters>5428</Characters>
  <Application>Microsoft Office Word</Application>
  <DocSecurity>0</DocSecurity>
  <Lines>45</Lines>
  <Paragraphs>12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6335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Pavel</dc:creator>
  <cp:keywords/>
  <dc:description/>
  <cp:lastModifiedBy>Uživatel systému Windows</cp:lastModifiedBy>
  <cp:revision>32</cp:revision>
  <dcterms:created xsi:type="dcterms:W3CDTF">2016-12-14T10:37:00Z</dcterms:created>
  <dcterms:modified xsi:type="dcterms:W3CDTF">2019-01-03T13:55:00Z</dcterms:modified>
</cp:coreProperties>
</file>