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DC2E" w14:textId="77777777" w:rsidR="0049221F" w:rsidRDefault="0049221F" w:rsidP="0049221F">
      <w:pPr>
        <w:pStyle w:val="NadpisZD"/>
        <w:spacing w:before="400"/>
      </w:pPr>
      <w:bookmarkStart w:id="0" w:name="_Toc360914523"/>
      <w:r>
        <w:t>Kupní smlouva</w:t>
      </w:r>
    </w:p>
    <w:p w14:paraId="187FA17D" w14:textId="77777777" w:rsidR="0049221F" w:rsidRPr="00BE2B19" w:rsidRDefault="0049221F" w:rsidP="0049221F">
      <w:pPr>
        <w:pStyle w:val="NadpisZD"/>
        <w:spacing w:before="400"/>
      </w:pPr>
    </w:p>
    <w:p w14:paraId="7362E48A" w14:textId="77777777" w:rsidR="0049221F" w:rsidRDefault="0049221F" w:rsidP="0049221F">
      <w:pPr>
        <w:pStyle w:val="Vycentrovan"/>
      </w:pPr>
      <w:r w:rsidRPr="00BE2B19">
        <w:t xml:space="preserve">uzavřená dle § </w:t>
      </w:r>
      <w:r>
        <w:t>2079</w:t>
      </w:r>
      <w:r w:rsidRPr="00BE2B19">
        <w:t xml:space="preserve"> a násl. zákona č. 89/2012 Sb., občanský zákoník, v platném znění</w:t>
      </w:r>
      <w:r>
        <w:t xml:space="preserve"> </w:t>
      </w:r>
      <w:r w:rsidRPr="00BE2B19">
        <w:t>(</w:t>
      </w:r>
      <w:r>
        <w:t>„</w:t>
      </w:r>
      <w:r w:rsidRPr="00BE2B19">
        <w:t>občanský zákoník</w:t>
      </w:r>
      <w:r>
        <w:t>“</w:t>
      </w:r>
      <w:r w:rsidRPr="00BE2B19">
        <w:t>)</w:t>
      </w:r>
    </w:p>
    <w:p w14:paraId="33E681D0" w14:textId="77777777" w:rsidR="0049221F" w:rsidRPr="00BE2B19" w:rsidRDefault="0049221F" w:rsidP="0049221F">
      <w:pPr>
        <w:pStyle w:val="Vycentrovan"/>
      </w:pPr>
    </w:p>
    <w:p w14:paraId="2D0ECFD2" w14:textId="77777777" w:rsidR="0049221F" w:rsidRDefault="0049221F" w:rsidP="0049221F">
      <w:pPr>
        <w:pStyle w:val="Obyejn"/>
        <w:spacing w:after="120"/>
        <w:jc w:val="center"/>
        <w:rPr>
          <w:b/>
          <w:smallCaps/>
          <w:sz w:val="40"/>
          <w:szCs w:val="40"/>
        </w:rPr>
      </w:pPr>
      <w:r w:rsidRPr="0049221F">
        <w:rPr>
          <w:b/>
          <w:smallCaps/>
          <w:sz w:val="40"/>
          <w:szCs w:val="40"/>
        </w:rPr>
        <w:t>Podpora technického vzdělávání v DDM Kopřivnice</w:t>
      </w:r>
    </w:p>
    <w:p w14:paraId="2C477B2A" w14:textId="77777777" w:rsidR="00623173" w:rsidRDefault="00623173" w:rsidP="0049221F">
      <w:pPr>
        <w:pStyle w:val="Obyejn"/>
        <w:spacing w:after="120"/>
        <w:jc w:val="center"/>
        <w:rPr>
          <w:b/>
          <w:smallCaps/>
          <w:sz w:val="40"/>
          <w:szCs w:val="40"/>
        </w:rPr>
      </w:pPr>
      <w:r>
        <w:rPr>
          <w:b/>
          <w:smallCaps/>
          <w:sz w:val="40"/>
          <w:szCs w:val="40"/>
        </w:rPr>
        <w:t>(</w:t>
      </w:r>
      <w:r w:rsidRPr="00623173">
        <w:rPr>
          <w:b/>
          <w:smallCaps/>
          <w:sz w:val="40"/>
          <w:szCs w:val="40"/>
          <w:highlight w:val="yellow"/>
        </w:rPr>
        <w:t>označení části zakázky</w:t>
      </w:r>
      <w:r>
        <w:rPr>
          <w:b/>
          <w:smallCaps/>
          <w:sz w:val="40"/>
          <w:szCs w:val="40"/>
        </w:rPr>
        <w:t>)</w:t>
      </w:r>
    </w:p>
    <w:p w14:paraId="4D4CC5DC" w14:textId="77777777" w:rsidR="0049221F" w:rsidRDefault="0049221F" w:rsidP="0049221F">
      <w:pPr>
        <w:pStyle w:val="Obyejn"/>
      </w:pPr>
    </w:p>
    <w:p w14:paraId="154F6D54" w14:textId="77777777" w:rsidR="0049221F" w:rsidRPr="00BE2B19" w:rsidRDefault="0049221F" w:rsidP="0049221F">
      <w:pPr>
        <w:pStyle w:val="Obyejn"/>
      </w:pPr>
      <w:r w:rsidRPr="00BE2B19">
        <w:t>mezi:</w:t>
      </w:r>
    </w:p>
    <w:p w14:paraId="2321F247" w14:textId="77777777" w:rsidR="0049221F" w:rsidRPr="00BE2B19" w:rsidRDefault="0049221F" w:rsidP="0049221F">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785"/>
        <w:gridCol w:w="6257"/>
      </w:tblGrid>
      <w:tr w:rsidR="0049221F" w:rsidRPr="008D420A" w14:paraId="1F5703EE" w14:textId="77777777" w:rsidTr="008E7A9B">
        <w:trPr>
          <w:trHeight w:val="284"/>
        </w:trPr>
        <w:tc>
          <w:tcPr>
            <w:tcW w:w="2785" w:type="dxa"/>
            <w:vAlign w:val="center"/>
          </w:tcPr>
          <w:p w14:paraId="68586190" w14:textId="77777777" w:rsidR="0049221F" w:rsidRPr="008D420A" w:rsidRDefault="0049221F" w:rsidP="00590E69">
            <w:pPr>
              <w:pStyle w:val="Obyejn"/>
              <w:ind w:left="-108"/>
              <w:rPr>
                <w:b/>
                <w:bCs/>
              </w:rPr>
            </w:pPr>
            <w:r w:rsidRPr="008D420A">
              <w:rPr>
                <w:b/>
                <w:bCs/>
              </w:rPr>
              <w:t>Název:</w:t>
            </w:r>
          </w:p>
        </w:tc>
        <w:tc>
          <w:tcPr>
            <w:tcW w:w="6257" w:type="dxa"/>
            <w:vAlign w:val="center"/>
          </w:tcPr>
          <w:p w14:paraId="21A3AE00" w14:textId="77777777" w:rsidR="0049221F" w:rsidRPr="008D420A" w:rsidRDefault="0049221F" w:rsidP="00590E69">
            <w:pPr>
              <w:pStyle w:val="Obyejn"/>
              <w:rPr>
                <w:b/>
                <w:bCs/>
              </w:rPr>
            </w:pPr>
            <w:r w:rsidRPr="008D420A">
              <w:rPr>
                <w:b/>
                <w:bCs/>
              </w:rPr>
              <w:t>Město Kopřivnice</w:t>
            </w:r>
          </w:p>
        </w:tc>
      </w:tr>
      <w:tr w:rsidR="0049221F" w:rsidRPr="008D420A" w14:paraId="0D0FB290" w14:textId="77777777" w:rsidTr="008E7A9B">
        <w:trPr>
          <w:trHeight w:val="284"/>
        </w:trPr>
        <w:tc>
          <w:tcPr>
            <w:tcW w:w="2785" w:type="dxa"/>
            <w:vAlign w:val="center"/>
          </w:tcPr>
          <w:p w14:paraId="683E7157" w14:textId="77777777" w:rsidR="0049221F" w:rsidRPr="006B53FB" w:rsidRDefault="0049221F" w:rsidP="00590E69">
            <w:pPr>
              <w:pStyle w:val="Obyejn"/>
              <w:ind w:left="-108"/>
            </w:pPr>
            <w:r w:rsidRPr="006B53FB">
              <w:t>Sídlo:</w:t>
            </w:r>
          </w:p>
        </w:tc>
        <w:tc>
          <w:tcPr>
            <w:tcW w:w="6257" w:type="dxa"/>
            <w:vAlign w:val="center"/>
          </w:tcPr>
          <w:p w14:paraId="3E8EF311" w14:textId="77777777" w:rsidR="0049221F" w:rsidRPr="006B53FB" w:rsidRDefault="0049221F" w:rsidP="00590E69">
            <w:pPr>
              <w:pStyle w:val="Obyejn"/>
              <w:rPr>
                <w:rFonts w:cs="Times New Roman"/>
              </w:rPr>
            </w:pPr>
            <w:r w:rsidRPr="00B93869">
              <w:t>Štefánikova 1163/12, 742 21 Kopřivnice</w:t>
            </w:r>
          </w:p>
        </w:tc>
      </w:tr>
      <w:tr w:rsidR="0049221F" w:rsidRPr="008D420A" w14:paraId="1501EBB0" w14:textId="77777777" w:rsidTr="008E7A9B">
        <w:trPr>
          <w:trHeight w:val="284"/>
        </w:trPr>
        <w:tc>
          <w:tcPr>
            <w:tcW w:w="2785" w:type="dxa"/>
            <w:vAlign w:val="center"/>
          </w:tcPr>
          <w:p w14:paraId="2E41FA8E" w14:textId="77777777" w:rsidR="0049221F" w:rsidRPr="006B53FB" w:rsidRDefault="0049221F" w:rsidP="00590E69">
            <w:pPr>
              <w:pStyle w:val="Obyejn"/>
              <w:ind w:left="-108"/>
            </w:pPr>
            <w:r w:rsidRPr="006B53FB">
              <w:t>IČO:</w:t>
            </w:r>
          </w:p>
        </w:tc>
        <w:tc>
          <w:tcPr>
            <w:tcW w:w="6257" w:type="dxa"/>
            <w:vAlign w:val="center"/>
          </w:tcPr>
          <w:p w14:paraId="3435F4ED" w14:textId="77777777" w:rsidR="0049221F" w:rsidRPr="006B53FB" w:rsidRDefault="0049221F" w:rsidP="00590E69">
            <w:pPr>
              <w:pStyle w:val="Obyejn"/>
              <w:rPr>
                <w:rFonts w:cs="Times New Roman"/>
              </w:rPr>
            </w:pPr>
            <w:r w:rsidRPr="00B93869">
              <w:t>00298077</w:t>
            </w:r>
          </w:p>
        </w:tc>
      </w:tr>
      <w:tr w:rsidR="0049221F" w:rsidRPr="008D420A" w14:paraId="5601B911" w14:textId="77777777" w:rsidTr="008E7A9B">
        <w:trPr>
          <w:trHeight w:val="284"/>
        </w:trPr>
        <w:tc>
          <w:tcPr>
            <w:tcW w:w="2785" w:type="dxa"/>
            <w:vAlign w:val="center"/>
          </w:tcPr>
          <w:p w14:paraId="05BB6C46" w14:textId="77777777" w:rsidR="0049221F" w:rsidRPr="006B53FB" w:rsidRDefault="0049221F" w:rsidP="00590E69">
            <w:pPr>
              <w:pStyle w:val="Obyejn"/>
              <w:ind w:left="-108"/>
            </w:pPr>
            <w:r w:rsidRPr="006B53FB">
              <w:t>DIČ:</w:t>
            </w:r>
          </w:p>
        </w:tc>
        <w:tc>
          <w:tcPr>
            <w:tcW w:w="6257" w:type="dxa"/>
            <w:vAlign w:val="center"/>
          </w:tcPr>
          <w:p w14:paraId="023568CA" w14:textId="77777777" w:rsidR="0049221F" w:rsidRPr="006B53FB" w:rsidRDefault="0049221F" w:rsidP="00590E69">
            <w:pPr>
              <w:pStyle w:val="Obyejn"/>
              <w:rPr>
                <w:rFonts w:cs="Times New Roman"/>
              </w:rPr>
            </w:pPr>
            <w:r w:rsidRPr="00B93869">
              <w:t>CZ00298077</w:t>
            </w:r>
          </w:p>
        </w:tc>
      </w:tr>
      <w:tr w:rsidR="0049221F" w:rsidRPr="008D420A" w14:paraId="54A7C31B" w14:textId="77777777" w:rsidTr="008E7A9B">
        <w:trPr>
          <w:trHeight w:val="284"/>
        </w:trPr>
        <w:tc>
          <w:tcPr>
            <w:tcW w:w="2785" w:type="dxa"/>
            <w:vAlign w:val="center"/>
          </w:tcPr>
          <w:p w14:paraId="1B25970C" w14:textId="77777777" w:rsidR="0049221F" w:rsidRPr="006B53FB" w:rsidRDefault="0049221F" w:rsidP="00590E69">
            <w:pPr>
              <w:pStyle w:val="Obyejn"/>
              <w:ind w:left="-108"/>
            </w:pPr>
            <w:r w:rsidRPr="006B53FB">
              <w:t>Právní forma:</w:t>
            </w:r>
          </w:p>
        </w:tc>
        <w:tc>
          <w:tcPr>
            <w:tcW w:w="6257" w:type="dxa"/>
            <w:vAlign w:val="center"/>
          </w:tcPr>
          <w:p w14:paraId="0C2077FC" w14:textId="77777777" w:rsidR="0049221F" w:rsidRPr="006B53FB" w:rsidRDefault="0049221F" w:rsidP="00590E69">
            <w:pPr>
              <w:pStyle w:val="Obyejn"/>
              <w:rPr>
                <w:rFonts w:cs="Times New Roman"/>
              </w:rPr>
            </w:pPr>
            <w:r w:rsidRPr="002C780B">
              <w:t>801 - Obec</w:t>
            </w:r>
          </w:p>
        </w:tc>
      </w:tr>
      <w:tr w:rsidR="0049221F" w:rsidRPr="008D420A" w14:paraId="7371D3F2" w14:textId="77777777" w:rsidTr="008E7A9B">
        <w:trPr>
          <w:trHeight w:val="284"/>
        </w:trPr>
        <w:tc>
          <w:tcPr>
            <w:tcW w:w="2785" w:type="dxa"/>
            <w:vAlign w:val="center"/>
          </w:tcPr>
          <w:p w14:paraId="42F4C45E" w14:textId="77777777" w:rsidR="0049221F" w:rsidRPr="006B53FB" w:rsidRDefault="0049221F" w:rsidP="00590E69">
            <w:pPr>
              <w:pStyle w:val="Obyejn"/>
              <w:ind w:left="-108"/>
            </w:pPr>
            <w:r w:rsidRPr="006B53FB">
              <w:t>Zastoupen:</w:t>
            </w:r>
          </w:p>
        </w:tc>
        <w:tc>
          <w:tcPr>
            <w:tcW w:w="6257" w:type="dxa"/>
            <w:vAlign w:val="center"/>
          </w:tcPr>
          <w:p w14:paraId="431E10A8" w14:textId="77777777" w:rsidR="0049221F" w:rsidRPr="00A3035A" w:rsidRDefault="0049221F" w:rsidP="00590E69">
            <w:pPr>
              <w:pStyle w:val="Obyejn"/>
              <w:rPr>
                <w:rFonts w:cs="Times New Roman"/>
              </w:rPr>
            </w:pPr>
            <w:r w:rsidRPr="00A3035A">
              <w:t>Ing. Miroslav Kopečný, starosta</w:t>
            </w:r>
          </w:p>
        </w:tc>
      </w:tr>
      <w:tr w:rsidR="0049221F" w:rsidRPr="008D420A" w14:paraId="14744DFF" w14:textId="77777777" w:rsidTr="008E7A9B">
        <w:trPr>
          <w:trHeight w:val="284"/>
        </w:trPr>
        <w:tc>
          <w:tcPr>
            <w:tcW w:w="2785" w:type="dxa"/>
            <w:vAlign w:val="center"/>
          </w:tcPr>
          <w:p w14:paraId="70DCDFBA" w14:textId="77777777" w:rsidR="0049221F" w:rsidRPr="006B53FB" w:rsidRDefault="0049221F" w:rsidP="00590E69">
            <w:pPr>
              <w:pStyle w:val="Obyejn"/>
              <w:ind w:left="-108"/>
            </w:pPr>
            <w:r>
              <w:t>Bankovní spojení:</w:t>
            </w:r>
          </w:p>
        </w:tc>
        <w:tc>
          <w:tcPr>
            <w:tcW w:w="6257" w:type="dxa"/>
            <w:vAlign w:val="center"/>
          </w:tcPr>
          <w:p w14:paraId="647FC34D" w14:textId="77777777" w:rsidR="0049221F" w:rsidRPr="00A3035A" w:rsidRDefault="0049221F" w:rsidP="00590E69">
            <w:pPr>
              <w:pStyle w:val="Obyejn"/>
            </w:pPr>
            <w:r w:rsidRPr="00A3035A">
              <w:t>Česká spořitelna, a.s.</w:t>
            </w:r>
          </w:p>
        </w:tc>
      </w:tr>
      <w:tr w:rsidR="0049221F" w:rsidRPr="008D420A" w14:paraId="10251593" w14:textId="77777777" w:rsidTr="008E7A9B">
        <w:trPr>
          <w:trHeight w:val="284"/>
        </w:trPr>
        <w:tc>
          <w:tcPr>
            <w:tcW w:w="2785" w:type="dxa"/>
            <w:vAlign w:val="center"/>
          </w:tcPr>
          <w:p w14:paraId="4CE0EE20" w14:textId="77777777" w:rsidR="0049221F" w:rsidRPr="006B53FB" w:rsidRDefault="0049221F" w:rsidP="00590E69">
            <w:pPr>
              <w:pStyle w:val="Obyejn"/>
              <w:ind w:left="-108"/>
            </w:pPr>
            <w:r>
              <w:t>Číslo účtu:</w:t>
            </w:r>
          </w:p>
        </w:tc>
        <w:tc>
          <w:tcPr>
            <w:tcW w:w="6257" w:type="dxa"/>
            <w:vAlign w:val="center"/>
          </w:tcPr>
          <w:p w14:paraId="6C1C2E32" w14:textId="77777777" w:rsidR="0049221F" w:rsidRPr="00A3035A" w:rsidRDefault="0049221F" w:rsidP="00590E69">
            <w:pPr>
              <w:pStyle w:val="Obyejn"/>
            </w:pPr>
            <w:r w:rsidRPr="00A3035A">
              <w:t>1767241349/0800</w:t>
            </w:r>
          </w:p>
        </w:tc>
      </w:tr>
      <w:tr w:rsidR="0049221F" w:rsidRPr="008D420A" w14:paraId="7DC5EE3F" w14:textId="77777777" w:rsidTr="008E7A9B">
        <w:trPr>
          <w:trHeight w:val="284"/>
        </w:trPr>
        <w:tc>
          <w:tcPr>
            <w:tcW w:w="2785" w:type="dxa"/>
            <w:vAlign w:val="center"/>
          </w:tcPr>
          <w:p w14:paraId="79B960F8" w14:textId="77777777" w:rsidR="0049221F" w:rsidRPr="006B53FB" w:rsidRDefault="0049221F" w:rsidP="00590E69">
            <w:pPr>
              <w:pStyle w:val="Obyejn"/>
              <w:ind w:left="-108"/>
            </w:pPr>
            <w:r>
              <w:t>Osoba oprávněná jednat ve věcech smluvních:</w:t>
            </w:r>
          </w:p>
        </w:tc>
        <w:tc>
          <w:tcPr>
            <w:tcW w:w="6257" w:type="dxa"/>
            <w:vAlign w:val="center"/>
          </w:tcPr>
          <w:p w14:paraId="57CA0F9D" w14:textId="667BE456" w:rsidR="0049221F" w:rsidRPr="00A3035A" w:rsidRDefault="00917136" w:rsidP="0026499A">
            <w:pPr>
              <w:pStyle w:val="Obyejn"/>
            </w:pPr>
            <w:r>
              <w:t>Mgr. Jiří Štěpán, vedoucí odboru rozvoje města</w:t>
            </w:r>
          </w:p>
        </w:tc>
      </w:tr>
      <w:tr w:rsidR="008E7A9B" w:rsidRPr="008D420A" w14:paraId="03256618" w14:textId="77777777" w:rsidTr="008E7A9B">
        <w:trPr>
          <w:trHeight w:val="284"/>
        </w:trPr>
        <w:tc>
          <w:tcPr>
            <w:tcW w:w="2785" w:type="dxa"/>
            <w:vAlign w:val="center"/>
          </w:tcPr>
          <w:p w14:paraId="2D51DC87" w14:textId="77777777" w:rsidR="008E7A9B" w:rsidRPr="006B53FB" w:rsidRDefault="008E7A9B" w:rsidP="008E7A9B">
            <w:pPr>
              <w:pStyle w:val="Obyejn"/>
              <w:ind w:left="-108"/>
            </w:pPr>
            <w:r>
              <w:t>Osoba oprávněná jednat ve věcech technických:</w:t>
            </w:r>
          </w:p>
        </w:tc>
        <w:tc>
          <w:tcPr>
            <w:tcW w:w="6257" w:type="dxa"/>
            <w:vAlign w:val="center"/>
          </w:tcPr>
          <w:p w14:paraId="3885E16A" w14:textId="7C6F6DC5" w:rsidR="008E7A9B" w:rsidRPr="00A3035A" w:rsidRDefault="0026499A" w:rsidP="0026499A">
            <w:pPr>
              <w:pStyle w:val="Obyejn"/>
            </w:pPr>
            <w:r w:rsidRPr="00A3035A">
              <w:t xml:space="preserve">Ing. Pavlína Gajdušková, vedoucí odd. investic, </w:t>
            </w:r>
            <w:r w:rsidR="003D682E">
              <w:br/>
            </w:r>
            <w:r w:rsidRPr="00A3035A">
              <w:t>Ing. Klára Blažková referent odd. investic</w:t>
            </w:r>
          </w:p>
        </w:tc>
      </w:tr>
    </w:tbl>
    <w:p w14:paraId="4CCA5E3D" w14:textId="77777777" w:rsidR="0049221F" w:rsidRDefault="0049221F" w:rsidP="0049221F">
      <w:pPr>
        <w:pStyle w:val="Obyejn"/>
      </w:pPr>
      <w:r w:rsidRPr="00475A53">
        <w:t>(„</w:t>
      </w:r>
      <w:r w:rsidRPr="00475A53">
        <w:rPr>
          <w:b/>
        </w:rPr>
        <w:t>kupující</w:t>
      </w:r>
      <w:r w:rsidRPr="00475A53">
        <w:t>“)</w:t>
      </w:r>
    </w:p>
    <w:p w14:paraId="0A8E3ADC" w14:textId="77777777" w:rsidR="0049221F" w:rsidRDefault="0049221F" w:rsidP="0049221F">
      <w:pPr>
        <w:pStyle w:val="Obyejn"/>
      </w:pPr>
    </w:p>
    <w:p w14:paraId="0D74B53C" w14:textId="77777777" w:rsidR="0049221F" w:rsidRDefault="0049221F" w:rsidP="0049221F">
      <w:pPr>
        <w:pStyle w:val="Obyejn"/>
      </w:pPr>
      <w:r>
        <w:t>a</w:t>
      </w:r>
    </w:p>
    <w:p w14:paraId="515971D3" w14:textId="77777777" w:rsidR="0049221F" w:rsidRDefault="0049221F" w:rsidP="0049221F">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785"/>
        <w:gridCol w:w="6277"/>
      </w:tblGrid>
      <w:tr w:rsidR="008E7A9B" w:rsidRPr="008D420A" w14:paraId="321B45D4" w14:textId="77777777" w:rsidTr="008E7A9B">
        <w:trPr>
          <w:trHeight w:val="284"/>
        </w:trPr>
        <w:tc>
          <w:tcPr>
            <w:tcW w:w="2785" w:type="dxa"/>
            <w:vAlign w:val="center"/>
          </w:tcPr>
          <w:p w14:paraId="6F7079E0" w14:textId="77777777" w:rsidR="008E7A9B" w:rsidRPr="008D420A" w:rsidRDefault="008E7A9B" w:rsidP="00590E69">
            <w:pPr>
              <w:pStyle w:val="Obyejn"/>
              <w:ind w:left="-108"/>
              <w:rPr>
                <w:b/>
                <w:bCs/>
              </w:rPr>
            </w:pPr>
            <w:r w:rsidRPr="008D420A">
              <w:rPr>
                <w:b/>
                <w:bCs/>
              </w:rPr>
              <w:t>Název:</w:t>
            </w:r>
          </w:p>
        </w:tc>
        <w:tc>
          <w:tcPr>
            <w:tcW w:w="6277" w:type="dxa"/>
            <w:vAlign w:val="center"/>
          </w:tcPr>
          <w:p w14:paraId="4900787E" w14:textId="77777777" w:rsidR="008E7A9B" w:rsidRPr="008D420A" w:rsidRDefault="008E7A9B" w:rsidP="00590E69">
            <w:pPr>
              <w:pStyle w:val="Obyejn"/>
              <w:rPr>
                <w:b/>
                <w:bCs/>
                <w:lang w:val="en-US"/>
              </w:rPr>
            </w:pPr>
            <w:r w:rsidRPr="008D420A">
              <w:rPr>
                <w:b/>
                <w:bCs/>
                <w:lang w:val="en-US"/>
              </w:rPr>
              <w:t>[</w:t>
            </w:r>
            <w:r w:rsidRPr="008D420A">
              <w:rPr>
                <w:b/>
                <w:bCs/>
                <w:highlight w:val="yellow"/>
                <w:lang w:val="en-US"/>
              </w:rPr>
              <w:t>k</w:t>
            </w:r>
            <w:r w:rsidRPr="008D420A">
              <w:rPr>
                <w:b/>
                <w:bCs/>
                <w:highlight w:val="yellow"/>
              </w:rPr>
              <w:t xml:space="preserve"> doplnění</w:t>
            </w:r>
            <w:r w:rsidRPr="008D420A">
              <w:rPr>
                <w:b/>
                <w:bCs/>
                <w:lang w:val="en-US"/>
              </w:rPr>
              <w:t>]</w:t>
            </w:r>
          </w:p>
        </w:tc>
      </w:tr>
      <w:tr w:rsidR="008E7A9B" w:rsidRPr="008D420A" w14:paraId="1195E05C" w14:textId="77777777" w:rsidTr="008E7A9B">
        <w:trPr>
          <w:trHeight w:val="284"/>
        </w:trPr>
        <w:tc>
          <w:tcPr>
            <w:tcW w:w="2785" w:type="dxa"/>
            <w:vAlign w:val="center"/>
          </w:tcPr>
          <w:p w14:paraId="5B529780" w14:textId="77777777" w:rsidR="008E7A9B" w:rsidRPr="006B53FB" w:rsidRDefault="008E7A9B" w:rsidP="00590E69">
            <w:pPr>
              <w:pStyle w:val="Obyejn"/>
              <w:ind w:left="-108"/>
            </w:pPr>
            <w:r w:rsidRPr="006B53FB">
              <w:t>Sídlo:</w:t>
            </w:r>
          </w:p>
        </w:tc>
        <w:tc>
          <w:tcPr>
            <w:tcW w:w="6277" w:type="dxa"/>
            <w:vAlign w:val="center"/>
          </w:tcPr>
          <w:p w14:paraId="0A8B0044" w14:textId="77777777" w:rsidR="008E7A9B" w:rsidRPr="008D420A" w:rsidRDefault="008E7A9B" w:rsidP="00590E69">
            <w:pPr>
              <w:pStyle w:val="Obyejn"/>
              <w:rPr>
                <w:rFonts w:cs="Times New Roman"/>
                <w:b/>
                <w:bCs/>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5A14A628" w14:textId="77777777" w:rsidTr="008E7A9B">
        <w:trPr>
          <w:trHeight w:val="284"/>
        </w:trPr>
        <w:tc>
          <w:tcPr>
            <w:tcW w:w="2785" w:type="dxa"/>
            <w:vAlign w:val="center"/>
          </w:tcPr>
          <w:p w14:paraId="3DCCF0FB" w14:textId="77777777" w:rsidR="008E7A9B" w:rsidRPr="006B53FB" w:rsidRDefault="008E7A9B" w:rsidP="00590E69">
            <w:pPr>
              <w:pStyle w:val="Obyejn"/>
              <w:ind w:left="-108"/>
            </w:pPr>
            <w:r w:rsidRPr="006B53FB">
              <w:t>IČO:</w:t>
            </w:r>
          </w:p>
        </w:tc>
        <w:tc>
          <w:tcPr>
            <w:tcW w:w="6277" w:type="dxa"/>
            <w:vAlign w:val="center"/>
          </w:tcPr>
          <w:p w14:paraId="7A459290" w14:textId="77777777" w:rsidR="008E7A9B" w:rsidRPr="008D420A" w:rsidRDefault="008E7A9B" w:rsidP="00590E69">
            <w:pPr>
              <w:pStyle w:val="Obyejn"/>
              <w:rPr>
                <w:rFonts w:cs="Times New Roman"/>
                <w:b/>
                <w:bCs/>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49E5D2C0" w14:textId="77777777" w:rsidTr="008E7A9B">
        <w:trPr>
          <w:trHeight w:val="284"/>
        </w:trPr>
        <w:tc>
          <w:tcPr>
            <w:tcW w:w="2785" w:type="dxa"/>
            <w:vAlign w:val="center"/>
          </w:tcPr>
          <w:p w14:paraId="65373282" w14:textId="77777777" w:rsidR="008E7A9B" w:rsidRPr="006B53FB" w:rsidRDefault="008E7A9B" w:rsidP="00590E69">
            <w:pPr>
              <w:pStyle w:val="Obyejn"/>
              <w:ind w:left="-108"/>
            </w:pPr>
            <w:r w:rsidRPr="006B53FB">
              <w:t>DIČ:</w:t>
            </w:r>
          </w:p>
        </w:tc>
        <w:tc>
          <w:tcPr>
            <w:tcW w:w="6277" w:type="dxa"/>
            <w:vAlign w:val="center"/>
          </w:tcPr>
          <w:p w14:paraId="1199873C" w14:textId="77777777" w:rsidR="008E7A9B" w:rsidRPr="006B53FB" w:rsidRDefault="008E7A9B" w:rsidP="00590E69">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15E095CD" w14:textId="77777777" w:rsidTr="008E7A9B">
        <w:trPr>
          <w:trHeight w:val="284"/>
        </w:trPr>
        <w:tc>
          <w:tcPr>
            <w:tcW w:w="2785" w:type="dxa"/>
            <w:vAlign w:val="center"/>
          </w:tcPr>
          <w:p w14:paraId="10D2F44F" w14:textId="77777777" w:rsidR="008E7A9B" w:rsidRPr="006B53FB" w:rsidRDefault="008E7A9B" w:rsidP="00590E69">
            <w:pPr>
              <w:pStyle w:val="Obyejn"/>
              <w:ind w:left="-108"/>
            </w:pPr>
            <w:r w:rsidRPr="006B53FB">
              <w:t>Právní forma:</w:t>
            </w:r>
          </w:p>
        </w:tc>
        <w:tc>
          <w:tcPr>
            <w:tcW w:w="6277" w:type="dxa"/>
            <w:vAlign w:val="center"/>
          </w:tcPr>
          <w:p w14:paraId="07F3250A" w14:textId="77777777" w:rsidR="008E7A9B" w:rsidRPr="006B53FB" w:rsidRDefault="008E7A9B" w:rsidP="00590E69">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60EA796B" w14:textId="77777777" w:rsidTr="008E7A9B">
        <w:trPr>
          <w:trHeight w:val="284"/>
        </w:trPr>
        <w:tc>
          <w:tcPr>
            <w:tcW w:w="2785" w:type="dxa"/>
            <w:vAlign w:val="center"/>
          </w:tcPr>
          <w:p w14:paraId="63DF908B" w14:textId="77777777" w:rsidR="008E7A9B" w:rsidRPr="006B53FB" w:rsidRDefault="008E7A9B" w:rsidP="00590E69">
            <w:pPr>
              <w:pStyle w:val="Obyejn"/>
              <w:ind w:left="-108"/>
            </w:pPr>
            <w:r w:rsidRPr="006B53FB">
              <w:t>Zápis v OR:</w:t>
            </w:r>
          </w:p>
        </w:tc>
        <w:tc>
          <w:tcPr>
            <w:tcW w:w="6277" w:type="dxa"/>
            <w:vAlign w:val="center"/>
          </w:tcPr>
          <w:p w14:paraId="12B911BF" w14:textId="77777777" w:rsidR="008E7A9B" w:rsidRPr="006B53FB" w:rsidRDefault="008E7A9B" w:rsidP="00590E69">
            <w:pPr>
              <w:pStyle w:val="Obyejn"/>
            </w:pPr>
            <w:r w:rsidRPr="006B53FB">
              <w:t>OR vedený [</w:t>
            </w:r>
            <w:r w:rsidRPr="008D420A">
              <w:rPr>
                <w:highlight w:val="yellow"/>
              </w:rPr>
              <w:t>k doplnění</w:t>
            </w:r>
            <w:r w:rsidRPr="006B53FB">
              <w:t>], oddíl [</w:t>
            </w:r>
            <w:r w:rsidRPr="008D420A">
              <w:rPr>
                <w:highlight w:val="yellow"/>
              </w:rPr>
              <w:t>k doplnění</w:t>
            </w:r>
            <w:r w:rsidRPr="006B53FB">
              <w:t>], vložka [</w:t>
            </w:r>
            <w:r w:rsidRPr="008D420A">
              <w:rPr>
                <w:highlight w:val="yellow"/>
              </w:rPr>
              <w:t>k doplnění</w:t>
            </w:r>
            <w:r w:rsidRPr="006B53FB">
              <w:t>]</w:t>
            </w:r>
          </w:p>
        </w:tc>
      </w:tr>
      <w:tr w:rsidR="008E7A9B" w:rsidRPr="008D420A" w14:paraId="122A717B" w14:textId="77777777" w:rsidTr="008E7A9B">
        <w:trPr>
          <w:trHeight w:val="284"/>
        </w:trPr>
        <w:tc>
          <w:tcPr>
            <w:tcW w:w="2785" w:type="dxa"/>
            <w:vAlign w:val="center"/>
          </w:tcPr>
          <w:p w14:paraId="1E40DE15" w14:textId="77777777" w:rsidR="008E7A9B" w:rsidRPr="006B53FB" w:rsidRDefault="008E7A9B" w:rsidP="00590E69">
            <w:pPr>
              <w:pStyle w:val="Obyejn"/>
              <w:ind w:left="-108"/>
            </w:pPr>
            <w:r w:rsidRPr="006B53FB">
              <w:t>Zastoupen:</w:t>
            </w:r>
          </w:p>
        </w:tc>
        <w:tc>
          <w:tcPr>
            <w:tcW w:w="6277" w:type="dxa"/>
            <w:vAlign w:val="center"/>
          </w:tcPr>
          <w:p w14:paraId="399487CC" w14:textId="77777777" w:rsidR="008E7A9B" w:rsidRPr="006B53FB" w:rsidRDefault="008E7A9B" w:rsidP="00590E69">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5B75878B" w14:textId="77777777" w:rsidTr="008E7A9B">
        <w:trPr>
          <w:trHeight w:val="284"/>
        </w:trPr>
        <w:tc>
          <w:tcPr>
            <w:tcW w:w="2785" w:type="dxa"/>
            <w:vAlign w:val="center"/>
          </w:tcPr>
          <w:p w14:paraId="01504365" w14:textId="77777777" w:rsidR="008E7A9B" w:rsidRPr="006B53FB" w:rsidRDefault="008E7A9B" w:rsidP="00590E69">
            <w:pPr>
              <w:pStyle w:val="Obyejn"/>
              <w:ind w:left="-108"/>
            </w:pPr>
            <w:r w:rsidRPr="006B53FB">
              <w:t>Bankovní spojení:</w:t>
            </w:r>
          </w:p>
        </w:tc>
        <w:tc>
          <w:tcPr>
            <w:tcW w:w="6277" w:type="dxa"/>
            <w:vAlign w:val="center"/>
          </w:tcPr>
          <w:p w14:paraId="7F3626A5" w14:textId="77777777" w:rsidR="008E7A9B" w:rsidRPr="006B53FB" w:rsidRDefault="008E7A9B" w:rsidP="00590E69">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0E9467C2" w14:textId="77777777" w:rsidTr="008E7A9B">
        <w:trPr>
          <w:trHeight w:val="284"/>
        </w:trPr>
        <w:tc>
          <w:tcPr>
            <w:tcW w:w="2785" w:type="dxa"/>
            <w:vAlign w:val="center"/>
          </w:tcPr>
          <w:p w14:paraId="46DDD1C3" w14:textId="77777777" w:rsidR="008E7A9B" w:rsidRPr="006B53FB" w:rsidRDefault="008E7A9B" w:rsidP="00590E69">
            <w:pPr>
              <w:pStyle w:val="Obyejn"/>
              <w:ind w:left="-108"/>
            </w:pPr>
            <w:r w:rsidRPr="006B53FB">
              <w:t>Číslo účtu:</w:t>
            </w:r>
          </w:p>
        </w:tc>
        <w:tc>
          <w:tcPr>
            <w:tcW w:w="6277" w:type="dxa"/>
            <w:vAlign w:val="center"/>
          </w:tcPr>
          <w:p w14:paraId="46C4FFC1" w14:textId="77777777" w:rsidR="008E7A9B" w:rsidRPr="006B53FB" w:rsidRDefault="008E7A9B" w:rsidP="00590E69">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4D68E532" w14:textId="77777777" w:rsidTr="008E7A9B">
        <w:trPr>
          <w:trHeight w:val="284"/>
        </w:trPr>
        <w:tc>
          <w:tcPr>
            <w:tcW w:w="2785" w:type="dxa"/>
            <w:vAlign w:val="center"/>
          </w:tcPr>
          <w:p w14:paraId="6E5D2C61" w14:textId="77777777" w:rsidR="008E7A9B" w:rsidRPr="006B53FB" w:rsidRDefault="008E7A9B" w:rsidP="008E7A9B">
            <w:pPr>
              <w:pStyle w:val="Obyejn"/>
              <w:ind w:left="-108"/>
            </w:pPr>
            <w:r>
              <w:t>Osoba oprávněná jednat ve věcech smluvních:</w:t>
            </w:r>
          </w:p>
        </w:tc>
        <w:tc>
          <w:tcPr>
            <w:tcW w:w="6277" w:type="dxa"/>
            <w:vAlign w:val="center"/>
          </w:tcPr>
          <w:p w14:paraId="077C7A35" w14:textId="77777777" w:rsidR="008E7A9B" w:rsidRPr="006B53FB" w:rsidRDefault="008E7A9B" w:rsidP="008E7A9B">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r w:rsidR="008E7A9B" w:rsidRPr="008D420A" w14:paraId="765BD5CD" w14:textId="77777777" w:rsidTr="008E7A9B">
        <w:trPr>
          <w:trHeight w:val="284"/>
        </w:trPr>
        <w:tc>
          <w:tcPr>
            <w:tcW w:w="2785" w:type="dxa"/>
            <w:vAlign w:val="center"/>
          </w:tcPr>
          <w:p w14:paraId="4C2D93DE" w14:textId="77777777" w:rsidR="008E7A9B" w:rsidRPr="006B53FB" w:rsidRDefault="008E7A9B" w:rsidP="008E7A9B">
            <w:pPr>
              <w:pStyle w:val="Obyejn"/>
              <w:ind w:left="-108"/>
            </w:pPr>
            <w:r>
              <w:t>Osoba oprávněná jednat ve věcech technických:</w:t>
            </w:r>
          </w:p>
        </w:tc>
        <w:tc>
          <w:tcPr>
            <w:tcW w:w="6277" w:type="dxa"/>
            <w:vAlign w:val="center"/>
          </w:tcPr>
          <w:p w14:paraId="0B8E8A49" w14:textId="77777777" w:rsidR="008E7A9B" w:rsidRPr="006B53FB" w:rsidRDefault="008E7A9B" w:rsidP="008E7A9B">
            <w:pPr>
              <w:pStyle w:val="Obyejn"/>
              <w:rPr>
                <w:rFonts w:cs="Times New Roman"/>
              </w:rPr>
            </w:pPr>
            <w:r w:rsidRPr="008D420A">
              <w:rPr>
                <w:lang w:val="en-US"/>
              </w:rPr>
              <w:t>[</w:t>
            </w:r>
            <w:r w:rsidRPr="008D420A">
              <w:rPr>
                <w:highlight w:val="yellow"/>
                <w:lang w:val="en-US"/>
              </w:rPr>
              <w:t>k</w:t>
            </w:r>
            <w:r w:rsidRPr="008D420A">
              <w:rPr>
                <w:highlight w:val="yellow"/>
              </w:rPr>
              <w:t xml:space="preserve"> doplnění</w:t>
            </w:r>
            <w:r w:rsidRPr="008D420A">
              <w:rPr>
                <w:lang w:val="en-US"/>
              </w:rPr>
              <w:t>]</w:t>
            </w:r>
          </w:p>
        </w:tc>
      </w:tr>
    </w:tbl>
    <w:p w14:paraId="3C261E05" w14:textId="77777777" w:rsidR="0049221F" w:rsidRPr="00BE2B19" w:rsidRDefault="0049221F" w:rsidP="0049221F">
      <w:pPr>
        <w:pStyle w:val="Obyejn"/>
        <w:rPr>
          <w:rFonts w:ascii="Times New Roman" w:hAnsi="Times New Roman"/>
        </w:rPr>
      </w:pPr>
      <w:r>
        <w:t>(„</w:t>
      </w:r>
      <w:r>
        <w:rPr>
          <w:b/>
        </w:rPr>
        <w:t>prodávající</w:t>
      </w:r>
      <w:r>
        <w:t>“)</w:t>
      </w:r>
      <w:r w:rsidRPr="00BE2B19">
        <w:rPr>
          <w:rFonts w:ascii="Times New Roman" w:hAnsi="Times New Roman"/>
        </w:rPr>
        <w:br w:type="page"/>
      </w:r>
    </w:p>
    <w:p w14:paraId="1D5A8C19" w14:textId="77777777" w:rsidR="0049221F" w:rsidRPr="004A6AA1" w:rsidRDefault="0049221F" w:rsidP="0049221F">
      <w:pPr>
        <w:pStyle w:val="Nadpis1"/>
      </w:pPr>
      <w:r w:rsidRPr="004A6AA1">
        <w:lastRenderedPageBreak/>
        <w:t>Předmět smlouvy</w:t>
      </w:r>
    </w:p>
    <w:p w14:paraId="35BD4C3C" w14:textId="5A47035C" w:rsidR="0049221F" w:rsidRDefault="0049221F" w:rsidP="0049221F">
      <w:pPr>
        <w:pStyle w:val="rovezanadpis"/>
      </w:pPr>
      <w:r w:rsidRPr="00D76357">
        <w:t>Předmětem této smlouvy je závazek prodávajícího odevzdat</w:t>
      </w:r>
      <w:r>
        <w:t xml:space="preserve"> kupujícímu</w:t>
      </w:r>
      <w:r w:rsidRPr="00D76357">
        <w:t xml:space="preserve"> </w:t>
      </w:r>
      <w:r>
        <w:t>dodávky blíže specifikované</w:t>
      </w:r>
      <w:r w:rsidRPr="004A6AA1">
        <w:t xml:space="preserve"> </w:t>
      </w:r>
      <w:r w:rsidRPr="00F44279">
        <w:t>v příloze č. 1</w:t>
      </w:r>
      <w:r w:rsidRPr="00D76357">
        <w:t xml:space="preserve"> smlouvy („dodávka“) a umožnit kupujícímu n</w:t>
      </w:r>
      <w:r>
        <w:t>abýt vlastnické právo k </w:t>
      </w:r>
      <w:r w:rsidRPr="004B49DC">
        <w:t>dodávce a závazek kupujícího dodávku převzít a zaplatit za dodávku dále sjednanou kupní cenu.</w:t>
      </w:r>
      <w:r w:rsidR="00A3035A">
        <w:t xml:space="preserve"> Předmětem dodávky je taktéž:</w:t>
      </w:r>
    </w:p>
    <w:p w14:paraId="6C3B82A2" w14:textId="77777777" w:rsidR="00A3035A" w:rsidRDefault="00A3035A" w:rsidP="00A3035A">
      <w:pPr>
        <w:pStyle w:val="Styl2"/>
      </w:pPr>
      <w:r>
        <w:t>předložení vzorků materiálů, povrchových úprav, výrobků, komponentů nebo celých kusů nábytku podle požadavků kupujícího před zahájením výroby/instalace,</w:t>
      </w:r>
    </w:p>
    <w:p w14:paraId="420F6EC6" w14:textId="45415FAE" w:rsidR="00A3035A" w:rsidRDefault="00A3035A" w:rsidP="00A3035A">
      <w:pPr>
        <w:pStyle w:val="Styl2"/>
      </w:pPr>
      <w:r>
        <w:t>koordinaci stavebních/instalačních prací s pracemi generálního dodavatele stavby (rekonstrukce objektu), za tímto účelem budou po dobu realizace plnění probíhat koordinační porady, jejichž termíny stanoví kupující po uzavření této smlouvy,</w:t>
      </w:r>
    </w:p>
    <w:p w14:paraId="65196763" w14:textId="1FC1841F" w:rsidR="00A3035A" w:rsidRDefault="00A3035A" w:rsidP="00A3035A">
      <w:pPr>
        <w:pStyle w:val="Styl2"/>
      </w:pPr>
      <w:r>
        <w:t>veškeré elektrické a jiné připojení interiérového vybavení na instalace nezbytná pro provoz a funkci interiérového vybavení včetně nezbytného odzkoušení a revizí,</w:t>
      </w:r>
    </w:p>
    <w:p w14:paraId="1AA0296B" w14:textId="0FF4BA38" w:rsidR="00A3035A" w:rsidRDefault="00A3035A" w:rsidP="00A3035A">
      <w:pPr>
        <w:pStyle w:val="Styl2"/>
      </w:pPr>
      <w:r>
        <w:t>zpracování a předání písemných instrukcí, návodů k obsluze, údržbě a čištění a</w:t>
      </w:r>
      <w:r w:rsidR="00AE76AF">
        <w:t> </w:t>
      </w:r>
      <w:r>
        <w:t>provozních manuálů,</w:t>
      </w:r>
    </w:p>
    <w:p w14:paraId="0D61A94B" w14:textId="315C4316" w:rsidR="00A3035A" w:rsidRDefault="00A3035A" w:rsidP="00A3035A">
      <w:pPr>
        <w:pStyle w:val="Styl2"/>
      </w:pPr>
      <w:r>
        <w:t>předání atestů, certifikátů, prohlášení o shodě vlastností výrobků a použitých materiálů s platnými normami a předpisy pro použití v ČR/EU,</w:t>
      </w:r>
    </w:p>
    <w:p w14:paraId="79ED212B" w14:textId="77777777" w:rsidR="00A3035A" w:rsidRDefault="00A3035A" w:rsidP="00A3035A">
      <w:pPr>
        <w:pStyle w:val="Styl2"/>
      </w:pPr>
      <w:r>
        <w:t>opravu případných poškození budovy a jejího zařízení vzniklých při instalaci předmětu koupě (oprava otlučených rohů, poškrábaných stěn, poškozených podlahových krytin apod.), úklid všech místností po dokončení instalace předmětu koupě,</w:t>
      </w:r>
    </w:p>
    <w:p w14:paraId="7158C593" w14:textId="23C93B1A" w:rsidR="00A3035A" w:rsidRPr="004B49DC" w:rsidRDefault="00A3035A" w:rsidP="00A3035A">
      <w:pPr>
        <w:pStyle w:val="Styl2"/>
      </w:pPr>
      <w:r>
        <w:t>vypracování celkového seznamu dodaných položek a seznamu dodaných položek pro každou jednotlivou místnost dle skutečných počtů a provedení s uvedením jejich jednotkové ceny, která bude členěna na cenu bez DPH a s DPH ve výši určené dle platných a účinných právních předpisů,</w:t>
      </w:r>
    </w:p>
    <w:p w14:paraId="3A2279A1" w14:textId="77777777" w:rsidR="0049221F" w:rsidRDefault="0049221F" w:rsidP="0049221F">
      <w:pPr>
        <w:pStyle w:val="rovezanadpis"/>
      </w:pPr>
      <w:r w:rsidRPr="004B49DC">
        <w:t>Součástí plnění je doprava do místa, vybalení, odborná montáž</w:t>
      </w:r>
      <w:r>
        <w:t xml:space="preserve">, instalace, vyzkoušení funkčnosti </w:t>
      </w:r>
      <w:r w:rsidRPr="004B49DC">
        <w:t>a likvidace odpadu</w:t>
      </w:r>
      <w:r>
        <w:t>, který vznikne v souvislosti s plněním veřejné zakázky, a</w:t>
      </w:r>
      <w:r w:rsidR="00FA38CB">
        <w:t> </w:t>
      </w:r>
      <w:r>
        <w:t>dále odpovídající odborné proškolení pracovníků kupujícího, pokud je to doporučeno nebo vyžadováno výrobcem</w:t>
      </w:r>
      <w:r w:rsidRPr="004B49DC">
        <w:t xml:space="preserve">. </w:t>
      </w:r>
    </w:p>
    <w:p w14:paraId="57A0FB8A" w14:textId="541A4C90" w:rsidR="0049221F" w:rsidRDefault="0049221F" w:rsidP="0049221F">
      <w:pPr>
        <w:pStyle w:val="rovezanadpis"/>
        <w:tabs>
          <w:tab w:val="clear" w:pos="1021"/>
          <w:tab w:val="left" w:pos="709"/>
        </w:tabs>
      </w:pPr>
      <w:r>
        <w:t>Prodávající</w:t>
      </w:r>
      <w:r w:rsidRPr="00697F00">
        <w:t xml:space="preserve"> není oprávněn pověřit </w:t>
      </w:r>
      <w:r>
        <w:t>dodávkou ani její</w:t>
      </w:r>
      <w:r w:rsidRPr="00697F00">
        <w:t xml:space="preserve"> část</w:t>
      </w:r>
      <w:r>
        <w:t>í</w:t>
      </w:r>
      <w:r w:rsidRPr="00697F00">
        <w:t xml:space="preserve"> bez předchozího písemného souhlasu </w:t>
      </w:r>
      <w:r w:rsidR="004A0281">
        <w:t>kupujícího</w:t>
      </w:r>
      <w:r w:rsidR="004A0281"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55DEC61B" w14:textId="77777777" w:rsidR="0049221F" w:rsidRPr="00EC276E" w:rsidRDefault="0049221F" w:rsidP="0049221F">
      <w:pPr>
        <w:pStyle w:val="rovezanadpis"/>
        <w:tabs>
          <w:tab w:val="clear" w:pos="1021"/>
          <w:tab w:val="left" w:pos="709"/>
        </w:tabs>
        <w:ind w:hanging="851"/>
      </w:pPr>
      <w:r>
        <w:t>Dodávka</w:t>
      </w:r>
      <w:r w:rsidRPr="00EC276E">
        <w:t xml:space="preserve"> bude </w:t>
      </w:r>
      <w:r>
        <w:t>spolufi</w:t>
      </w:r>
      <w:r w:rsidRPr="00EC276E">
        <w:t>nancován</w:t>
      </w:r>
      <w:r>
        <w:t>a</w:t>
      </w:r>
      <w:r w:rsidRPr="00EC276E">
        <w:t xml:space="preserve"> z Integrovaného regionálního operačního programu</w:t>
      </w:r>
    </w:p>
    <w:p w14:paraId="5E62E601" w14:textId="77777777" w:rsidR="0049221F" w:rsidRDefault="0049221F" w:rsidP="0049221F">
      <w:pPr>
        <w:pStyle w:val="Podnadpis"/>
        <w:ind w:left="3544" w:hanging="2835"/>
        <w:rPr>
          <w:rStyle w:val="datalabel"/>
        </w:rPr>
      </w:pPr>
      <w:r>
        <w:t xml:space="preserve">Název projektu: </w:t>
      </w:r>
      <w:r>
        <w:tab/>
      </w:r>
      <w:r w:rsidR="00FA38CB" w:rsidRPr="00FA38CB">
        <w:rPr>
          <w:rStyle w:val="datalabel"/>
          <w:b/>
        </w:rPr>
        <w:t>Podpora technického vzdělávání v DDM Kopřivnice</w:t>
      </w:r>
    </w:p>
    <w:p w14:paraId="131E994B" w14:textId="77777777" w:rsidR="0049221F" w:rsidRDefault="0049221F" w:rsidP="0049221F">
      <w:pPr>
        <w:pStyle w:val="Podnadpis"/>
        <w:rPr>
          <w:rStyle w:val="datalabel"/>
        </w:rPr>
      </w:pPr>
      <w:r>
        <w:rPr>
          <w:rStyle w:val="datalabel"/>
        </w:rPr>
        <w:t>Registrační číslo projektu:</w:t>
      </w:r>
      <w:r>
        <w:rPr>
          <w:rStyle w:val="datalabel"/>
        </w:rPr>
        <w:tab/>
      </w:r>
      <w:r w:rsidR="00FA38CB" w:rsidRPr="00FA38CB">
        <w:rPr>
          <w:rStyle w:val="datalabel"/>
        </w:rPr>
        <w:t>CZ.06.2.67/0.0/0.0/16_066/0010776</w:t>
      </w:r>
    </w:p>
    <w:p w14:paraId="17EB9F6D" w14:textId="77777777" w:rsidR="0049221F" w:rsidRDefault="0049221F" w:rsidP="00FA38CB">
      <w:pPr>
        <w:pStyle w:val="Podnadpis"/>
        <w:ind w:left="3544" w:hanging="2835"/>
        <w:rPr>
          <w:rStyle w:val="datalabel"/>
        </w:rPr>
      </w:pPr>
      <w:r>
        <w:rPr>
          <w:rStyle w:val="datalabel"/>
        </w:rPr>
        <w:t>Název výzvy:</w:t>
      </w:r>
      <w:r>
        <w:rPr>
          <w:rStyle w:val="datalabel"/>
        </w:rPr>
        <w:tab/>
      </w:r>
      <w:r w:rsidR="00FA38CB">
        <w:rPr>
          <w:rStyle w:val="datalabel"/>
        </w:rPr>
        <w:t>9. výzva – ITI-Ostrava-SC 2.4.-Neformální vzdělávání</w:t>
      </w:r>
    </w:p>
    <w:p w14:paraId="454FCF85" w14:textId="77777777" w:rsidR="0049221F" w:rsidRPr="004B49DC" w:rsidRDefault="0049221F" w:rsidP="0049221F">
      <w:pPr>
        <w:pStyle w:val="rovezanadpis"/>
        <w:numPr>
          <w:ilvl w:val="0"/>
          <w:numId w:val="0"/>
        </w:numPr>
        <w:ind w:left="709"/>
      </w:pPr>
      <w:r>
        <w:t>(</w:t>
      </w:r>
      <w:r w:rsidRPr="008F4030">
        <w:t>dále jen „dotace“</w:t>
      </w:r>
      <w:r>
        <w:t>).</w:t>
      </w:r>
    </w:p>
    <w:p w14:paraId="21D900A1" w14:textId="77777777" w:rsidR="0049221F" w:rsidRPr="004B49DC" w:rsidRDefault="0049221F" w:rsidP="0049221F">
      <w:pPr>
        <w:pStyle w:val="Nadpis1"/>
      </w:pPr>
      <w:r w:rsidRPr="004B49DC">
        <w:lastRenderedPageBreak/>
        <w:t>Místo a Doba plnění</w:t>
      </w:r>
    </w:p>
    <w:p w14:paraId="1CF9D5C4" w14:textId="1FAB4C07" w:rsidR="0049221F" w:rsidRPr="00384072" w:rsidRDefault="0049221F" w:rsidP="0049221F">
      <w:pPr>
        <w:pStyle w:val="rovezanadpis"/>
      </w:pPr>
      <w:bookmarkStart w:id="1" w:name="_Ref445997553"/>
      <w:r>
        <w:t xml:space="preserve">Místem plnění </w:t>
      </w:r>
      <w:r w:rsidRPr="00F44279">
        <w:t xml:space="preserve">je </w:t>
      </w:r>
      <w:r w:rsidR="00FA38CB">
        <w:rPr>
          <w:color w:val="auto"/>
        </w:rPr>
        <w:t xml:space="preserve">Dům dětí a mládeže v Kopřivnici, </w:t>
      </w:r>
      <w:r w:rsidR="00FA38CB" w:rsidRPr="00FA38CB">
        <w:rPr>
          <w:color w:val="auto"/>
        </w:rPr>
        <w:t>ul. Kpt. Jaroše</w:t>
      </w:r>
      <w:r w:rsidR="00FA38CB">
        <w:rPr>
          <w:color w:val="auto"/>
        </w:rPr>
        <w:t xml:space="preserve"> 1077</w:t>
      </w:r>
      <w:r w:rsidR="00FA38CB" w:rsidRPr="00FA38CB">
        <w:rPr>
          <w:color w:val="auto"/>
        </w:rPr>
        <w:t>,</w:t>
      </w:r>
      <w:r w:rsidR="00FA38CB">
        <w:rPr>
          <w:color w:val="auto"/>
        </w:rPr>
        <w:t xml:space="preserve"> </w:t>
      </w:r>
      <w:r w:rsidR="00FA38CB" w:rsidRPr="00FA38CB">
        <w:rPr>
          <w:color w:val="auto"/>
        </w:rPr>
        <w:t xml:space="preserve">742 21 Kopřivnice – kód ZÚJ 599565, Moravskoslezský kraj – kód NUTS CZ080 a provozovna </w:t>
      </w:r>
      <w:r w:rsidR="00A3035A">
        <w:rPr>
          <w:color w:val="auto"/>
        </w:rPr>
        <w:t>prodávajícího</w:t>
      </w:r>
      <w:r>
        <w:t>.</w:t>
      </w:r>
    </w:p>
    <w:p w14:paraId="378A794D" w14:textId="77777777" w:rsidR="0049221F" w:rsidRDefault="0049221F" w:rsidP="0049221F">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r>
        <w:t xml:space="preserve"> Kupující si vyhrazuje právo vyžadovat předání dodávky po ucelených částech.</w:t>
      </w:r>
    </w:p>
    <w:p w14:paraId="565C422F" w14:textId="77777777" w:rsidR="0049221F" w:rsidRPr="004B49DC" w:rsidRDefault="0049221F" w:rsidP="0049221F">
      <w:pPr>
        <w:pStyle w:val="rovezanadpis"/>
      </w:pPr>
      <w:r>
        <w:t>Součástí protokolu o převzetí bude uvedení všech položek, které jsou součástí plnění a všechny případné vady, včetně termínu pro jejich odstranění.</w:t>
      </w:r>
    </w:p>
    <w:p w14:paraId="2C63DC4B" w14:textId="4A380CBA" w:rsidR="0049221F" w:rsidRPr="004B49DC" w:rsidRDefault="004A6C29" w:rsidP="0049221F">
      <w:pPr>
        <w:pStyle w:val="rovezanadpis"/>
      </w:pPr>
      <w:r>
        <w:t>Prodávající zahájí dodávku na základě písemné výzvy kupujícího prodávajícímu. Kupující předpokládá odeslání výzvy v srpnu 2020 v závislosti na probíhajících stavebních pracích v </w:t>
      </w:r>
      <w:r w:rsidR="00661AFC">
        <w:t>objektu</w:t>
      </w:r>
      <w:r>
        <w:t xml:space="preserve">. </w:t>
      </w:r>
      <w:r w:rsidR="0049221F" w:rsidRPr="004B49DC">
        <w:t>Prodávající se zavazuje dodat</w:t>
      </w:r>
      <w:r w:rsidR="0049221F">
        <w:t xml:space="preserve"> a odborně namontovat</w:t>
      </w:r>
      <w:r w:rsidR="0049221F" w:rsidRPr="004B49DC">
        <w:t xml:space="preserve"> předmět smlouvy </w:t>
      </w:r>
      <w:r w:rsidR="0049221F">
        <w:t xml:space="preserve">do </w:t>
      </w:r>
      <w:r w:rsidR="00917136">
        <w:t>18</w:t>
      </w:r>
      <w:r w:rsidR="00A3035A">
        <w:t>. 9. 2020</w:t>
      </w:r>
      <w:r w:rsidR="0049221F">
        <w:t xml:space="preserve">. </w:t>
      </w:r>
      <w:r w:rsidR="00A3035A">
        <w:t>V případě prodloužení trvání rekonstrukce objektu se doba plnění dle této smlouvy automaticky prodlužuje o dobu, o kterou se prodloužila doba trvání rekonstrukce objektu. Kupující je povinen o této skutečnosti prodávajícího bez zbytečného odkladu informovat a prodávající v daném případě není v prodlení s dodáním zboží.</w:t>
      </w:r>
      <w:r>
        <w:t xml:space="preserve"> </w:t>
      </w:r>
      <w:r w:rsidR="00FA38CB">
        <w:t>V takovém případě bude uzavřen dodatek ke smlouvě.</w:t>
      </w:r>
    </w:p>
    <w:bookmarkEnd w:id="1"/>
    <w:p w14:paraId="0E06ED36" w14:textId="77777777" w:rsidR="0049221F" w:rsidRPr="00BE2B19" w:rsidRDefault="0049221F" w:rsidP="0049221F">
      <w:pPr>
        <w:pStyle w:val="Nadpis1"/>
      </w:pPr>
      <w:r>
        <w:t>Kupní cena a platební podmínky</w:t>
      </w:r>
    </w:p>
    <w:p w14:paraId="3AC6DA6E" w14:textId="6DD88335" w:rsidR="0049221F" w:rsidRPr="00475A53" w:rsidRDefault="0049221F" w:rsidP="0049221F">
      <w:pPr>
        <w:pStyle w:val="rovezanadpis"/>
      </w:pPr>
      <w:r>
        <w:t>Kupní cena</w:t>
      </w:r>
      <w:r w:rsidRPr="00BE2B19">
        <w:t xml:space="preserve"> byla stanovena dohodou smluvních stran n</w:t>
      </w:r>
      <w:r>
        <w:t xml:space="preserve">a základě nabídky prodávajícího podané </w:t>
      </w:r>
      <w:r w:rsidR="004A0281">
        <w:t>ve výběrovém</w:t>
      </w:r>
      <w:r>
        <w:t xml:space="preserve"> řízení nazvaném „</w:t>
      </w:r>
      <w:r w:rsidR="00975A69" w:rsidRPr="00975A69">
        <w:t>Podpora technického vzdělávání v DDM Kopřivnice</w:t>
      </w:r>
      <w:r w:rsidR="00975A69">
        <w:t>“</w:t>
      </w:r>
      <w:r w:rsidRPr="000C4E62">
        <w:t xml:space="preserve"> </w:t>
      </w:r>
      <w:r w:rsidR="00975A69">
        <w:t>č</w:t>
      </w:r>
      <w:r w:rsidRPr="000C4E62">
        <w:t xml:space="preserve">ást </w:t>
      </w:r>
      <w:r w:rsidR="00975A69">
        <w:t>[</w:t>
      </w:r>
      <w:r w:rsidR="00975A69" w:rsidRPr="00975A69">
        <w:rPr>
          <w:highlight w:val="yellow"/>
        </w:rPr>
        <w:t>dodavatel doplní číslo a název části</w:t>
      </w:r>
      <w:r w:rsidR="00975A69">
        <w:t>]</w:t>
      </w:r>
      <w:r w:rsidRPr="00475A53">
        <w:t xml:space="preserve"> („</w:t>
      </w:r>
      <w:r w:rsidR="00A917AE">
        <w:t>výběrové</w:t>
      </w:r>
      <w:r w:rsidRPr="00475A53">
        <w:t xml:space="preserve"> řízení“) a činí:</w:t>
      </w:r>
    </w:p>
    <w:p w14:paraId="79B66F12" w14:textId="77777777" w:rsidR="0049221F" w:rsidRPr="00475A53" w:rsidRDefault="0049221F" w:rsidP="0049221F">
      <w:pPr>
        <w:pStyle w:val="Podnadpis"/>
      </w:pPr>
      <w:r w:rsidRPr="00475A53">
        <w:t>Cena bez DPH:</w:t>
      </w:r>
      <w:r w:rsidRPr="00475A53">
        <w:tab/>
        <w:t>[</w:t>
      </w:r>
      <w:r w:rsidRPr="00470335">
        <w:rPr>
          <w:highlight w:val="yellow"/>
        </w:rPr>
        <w:t>k doplnění</w:t>
      </w:r>
      <w:r w:rsidRPr="00475A53">
        <w:t>] Kč</w:t>
      </w:r>
    </w:p>
    <w:p w14:paraId="66CFFFD2" w14:textId="77777777" w:rsidR="0049221F" w:rsidRPr="00475A53" w:rsidRDefault="0049221F" w:rsidP="0049221F">
      <w:pPr>
        <w:pStyle w:val="Podnadpis"/>
      </w:pPr>
      <w:r w:rsidRPr="00475A53">
        <w:t xml:space="preserve">DPH </w:t>
      </w:r>
      <w:r w:rsidRPr="00470335">
        <w:rPr>
          <w:highlight w:val="yellow"/>
        </w:rPr>
        <w:t>[k doplnění</w:t>
      </w:r>
      <w:r w:rsidRPr="00475A53">
        <w:t xml:space="preserve">] %: </w:t>
      </w:r>
      <w:r w:rsidRPr="00475A53">
        <w:tab/>
        <w:t>[</w:t>
      </w:r>
      <w:r w:rsidRPr="00470335">
        <w:rPr>
          <w:highlight w:val="yellow"/>
        </w:rPr>
        <w:t>k doplnění</w:t>
      </w:r>
      <w:r w:rsidRPr="00475A53">
        <w:t>] Kč</w:t>
      </w:r>
    </w:p>
    <w:p w14:paraId="549605E9" w14:textId="77777777" w:rsidR="0049221F" w:rsidRPr="00475A53" w:rsidRDefault="0049221F" w:rsidP="0049221F">
      <w:pPr>
        <w:pStyle w:val="Podnadpis"/>
      </w:pPr>
      <w:r w:rsidRPr="00475A53">
        <w:t xml:space="preserve">Cena s DPH </w:t>
      </w:r>
      <w:r w:rsidRPr="00475A53">
        <w:tab/>
      </w:r>
      <w:r w:rsidRPr="00475A53">
        <w:tab/>
      </w:r>
      <w:bookmarkStart w:id="2" w:name="_Hlk534201538"/>
      <w:r w:rsidRPr="00475A53">
        <w:t>[</w:t>
      </w:r>
      <w:bookmarkEnd w:id="2"/>
      <w:r w:rsidRPr="00470335">
        <w:rPr>
          <w:highlight w:val="yellow"/>
        </w:rPr>
        <w:t>k doplnění</w:t>
      </w:r>
      <w:bookmarkStart w:id="3" w:name="_Hlk534201563"/>
      <w:r w:rsidRPr="00475A53">
        <w:t>]</w:t>
      </w:r>
      <w:bookmarkEnd w:id="3"/>
      <w:r w:rsidRPr="00475A53">
        <w:rPr>
          <w:color w:val="FF0000"/>
        </w:rPr>
        <w:t xml:space="preserve"> </w:t>
      </w:r>
      <w:r w:rsidRPr="00475A53">
        <w:t>Kč</w:t>
      </w:r>
    </w:p>
    <w:p w14:paraId="1A6DA7B2" w14:textId="77777777" w:rsidR="0049221F" w:rsidRDefault="0049221F" w:rsidP="0049221F">
      <w:pPr>
        <w:pStyle w:val="rovezanadpis"/>
      </w:pPr>
      <w:r w:rsidRPr="00475A53">
        <w:t>Cena bez DPH je dohodnuta jako nejvýše přípustná</w:t>
      </w:r>
      <w:r w:rsidRPr="00BE2B19">
        <w:t xml:space="preserve">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7BC7084A" w14:textId="5A223437" w:rsidR="0049221F" w:rsidRDefault="0049221F" w:rsidP="0049221F">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w:t>
      </w:r>
      <w:r>
        <w:t>daný vývoj kurzů české koruny k </w:t>
      </w:r>
      <w:r w:rsidRPr="00DB162D">
        <w:t>zahraničním měnám až do konce její platnosti.</w:t>
      </w:r>
      <w:r w:rsidR="00A3035A">
        <w:t xml:space="preserve"> </w:t>
      </w:r>
      <w:r w:rsidR="00A3035A" w:rsidRPr="00A3035A">
        <w:t>Cena je sjednána jako nejvýše přípustná, včetně všech poplatků a veškerých dalších nákladů spojených s dodáním zboží a se splněním ostatních povinností prodávajícího dle této smlouvy. Cena zahrnuje dopravu včetně případného pojištění, manipulaci a přesuny na místě plnění. Cena zahrnuje i náklady na správní poplatky, daně, cla, schvalovací řízení, provedení předepsaných zkoušek, zabezpečení prohlášení o shodě, certifikátů a atestů, převod práv, pojištění, přepravní náklady, autorská práva apod. Zahrnuje také veškeré náklady prodávajícího na poskytnutí souvisejícího plnění uvedeného v čl. 1. této smlouvy.</w:t>
      </w:r>
    </w:p>
    <w:p w14:paraId="1D95FAAB" w14:textId="77777777" w:rsidR="0049221F" w:rsidRPr="00BE2B19" w:rsidRDefault="0049221F" w:rsidP="0049221F">
      <w:pPr>
        <w:pStyle w:val="rovezanadpis"/>
        <w:tabs>
          <w:tab w:val="clear" w:pos="1021"/>
          <w:tab w:val="left" w:pos="709"/>
        </w:tabs>
      </w:pPr>
      <w:r w:rsidRPr="00DB162D">
        <w:lastRenderedPageBreak/>
        <w:t>V případě, že dojde k prodlení s </w:t>
      </w:r>
      <w:r>
        <w:t>dodáním</w:t>
      </w:r>
      <w:r w:rsidRPr="00DB162D">
        <w:t xml:space="preserve"> </w:t>
      </w:r>
      <w:r>
        <w:t>předmětu smlouvy</w:t>
      </w:r>
      <w:r w:rsidRPr="00DB162D">
        <w:t xml:space="preserve"> z důvodů ležících na straně </w:t>
      </w:r>
      <w:r>
        <w:t>prodávajícího</w:t>
      </w:r>
      <w:r w:rsidRPr="00DB162D">
        <w:t xml:space="preserve">, je tato cena neměnná až do doby skutečného </w:t>
      </w:r>
      <w:r>
        <w:t>dodání</w:t>
      </w:r>
      <w:r w:rsidRPr="00DB162D">
        <w:t xml:space="preserve"> </w:t>
      </w:r>
      <w:r>
        <w:t>předmětu smlouvy</w:t>
      </w:r>
      <w:r w:rsidRPr="00DB162D">
        <w:t>.</w:t>
      </w:r>
    </w:p>
    <w:p w14:paraId="1DBE284C" w14:textId="77777777" w:rsidR="0049221F" w:rsidRDefault="0049221F" w:rsidP="0049221F">
      <w:pPr>
        <w:pStyle w:val="rovezanadpis"/>
      </w:pPr>
      <w:r>
        <w:t>Cenu lze změnit pouze:</w:t>
      </w:r>
    </w:p>
    <w:p w14:paraId="231CAB9A" w14:textId="59746FB0" w:rsidR="0049221F" w:rsidRPr="006D4C09" w:rsidRDefault="0049221F" w:rsidP="0049221F">
      <w:pPr>
        <w:pStyle w:val="Psmena"/>
        <w:numPr>
          <w:ilvl w:val="3"/>
          <w:numId w:val="2"/>
        </w:numPr>
        <w:ind w:left="709" w:hanging="283"/>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w:t>
      </w:r>
      <w:r w:rsidR="00A917AE">
        <w:t>e výběrovém</w:t>
      </w:r>
      <w:r>
        <w:t xml:space="preserve"> řízení</w:t>
      </w:r>
      <w:r w:rsidRPr="006D4C09">
        <w:t xml:space="preserve">, případně </w:t>
      </w:r>
      <w:r>
        <w:t>kupujícím</w:t>
      </w:r>
      <w:r w:rsidRPr="006D4C09">
        <w:t xml:space="preserve"> vyloučených </w:t>
      </w:r>
      <w:r>
        <w:t>dodávek z </w:t>
      </w:r>
      <w:r w:rsidRPr="006D4C09">
        <w:t>předmětu plnění,</w:t>
      </w:r>
    </w:p>
    <w:p w14:paraId="1DEFEB12" w14:textId="77777777" w:rsidR="0049221F" w:rsidRDefault="0049221F" w:rsidP="0049221F">
      <w:pPr>
        <w:pStyle w:val="Psmena"/>
        <w:ind w:hanging="283"/>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1819C6E4" w14:textId="77777777" w:rsidR="0049221F" w:rsidRPr="006D4C09" w:rsidRDefault="0049221F" w:rsidP="0049221F">
      <w:pPr>
        <w:pStyle w:val="Psmena"/>
        <w:ind w:hanging="283"/>
      </w:pPr>
      <w:r>
        <w:t xml:space="preserve">při změně daňových předpisů. </w:t>
      </w:r>
    </w:p>
    <w:p w14:paraId="2FEFD8E5" w14:textId="77777777" w:rsidR="0049221F" w:rsidRPr="00384072" w:rsidRDefault="0049221F" w:rsidP="0049221F">
      <w:pPr>
        <w:pStyle w:val="rovezanadpis"/>
      </w:pPr>
      <w:r>
        <w:t xml:space="preserve">Prodávající je oprávněn vystavit fakturu ke dni podepsání protokolu o převzetí všech částí dodávky oběma smluvními stranami. </w:t>
      </w:r>
      <w:r w:rsidRPr="00384072">
        <w:t>Splatnost faktur</w:t>
      </w:r>
      <w:r>
        <w:t>y</w:t>
      </w:r>
      <w:r w:rsidRPr="00384072">
        <w:t xml:space="preserve"> činí </w:t>
      </w:r>
      <w:r>
        <w:t>3</w:t>
      </w:r>
      <w:r w:rsidRPr="00384072">
        <w:t>0 dnů</w:t>
      </w:r>
      <w:r>
        <w:t xml:space="preserve"> ode dne prokazatelného doručení faktury kupujícímu včetně všech příloh.</w:t>
      </w:r>
    </w:p>
    <w:p w14:paraId="1F608849" w14:textId="77777777" w:rsidR="0049221F" w:rsidRDefault="0049221F" w:rsidP="0049221F">
      <w:pPr>
        <w:pStyle w:val="rovezanadpis"/>
      </w:pPr>
      <w:r w:rsidRPr="00384072">
        <w:t>Za den platby se považuje den, kdy došlo k jejímu odepsání z účtu kupujícího.</w:t>
      </w:r>
    </w:p>
    <w:p w14:paraId="555909BF" w14:textId="77777777" w:rsidR="0049221F" w:rsidRDefault="0049221F" w:rsidP="0049221F">
      <w:pPr>
        <w:pStyle w:val="rovezanadpis"/>
        <w:tabs>
          <w:tab w:val="clear" w:pos="1021"/>
          <w:tab w:val="left" w:pos="709"/>
        </w:tabs>
      </w:pPr>
      <w:r w:rsidRPr="00DB162D">
        <w:t xml:space="preserve">Veškeré účetní doklady musí </w:t>
      </w:r>
      <w:r w:rsidRPr="00961CEB">
        <w:t>obsahovat náležitosti daňového dokladu a náležitosti uvedené v této smlouvě, název projektu „</w:t>
      </w:r>
      <w:r w:rsidR="00975A69" w:rsidRPr="00975A69">
        <w:rPr>
          <w:rFonts w:eastAsia="Calibri"/>
        </w:rPr>
        <w:t>Podpora technického vzdělávání v DDM Kopřivnice</w:t>
      </w:r>
      <w:r w:rsidRPr="00961CEB">
        <w:rPr>
          <w:rStyle w:val="apple-converted-space"/>
          <w:rFonts w:eastAsia="Calibri"/>
          <w:color w:val="000000"/>
          <w:shd w:val="clear" w:color="auto" w:fill="FFFFFF"/>
        </w:rPr>
        <w:t>“</w:t>
      </w:r>
      <w:r>
        <w:rPr>
          <w:rStyle w:val="apple-converted-space"/>
          <w:rFonts w:eastAsia="Calibri"/>
          <w:color w:val="000000"/>
          <w:shd w:val="clear" w:color="auto" w:fill="FFFFFF"/>
        </w:rPr>
        <w:t xml:space="preserve">, </w:t>
      </w:r>
      <w:r w:rsidRPr="00961CEB">
        <w:rPr>
          <w:rStyle w:val="apple-converted-space"/>
          <w:rFonts w:eastAsia="Calibri"/>
          <w:color w:val="000000"/>
          <w:shd w:val="clear" w:color="auto" w:fill="FFFFFF"/>
        </w:rPr>
        <w:t xml:space="preserve">registrační číslo projektu </w:t>
      </w:r>
      <w:r w:rsidR="00975A69" w:rsidRPr="00975A69">
        <w:rPr>
          <w:color w:val="000000"/>
          <w:shd w:val="clear" w:color="auto" w:fill="FFFFFF"/>
        </w:rPr>
        <w:t>CZ.06.2.67/0.0/0.0/16_066/0010776</w:t>
      </w:r>
      <w:r w:rsidR="00975A69">
        <w:rPr>
          <w:color w:val="000000"/>
          <w:shd w:val="clear" w:color="auto" w:fill="FFFFFF"/>
        </w:rPr>
        <w:t xml:space="preserve"> </w:t>
      </w:r>
      <w:r>
        <w:rPr>
          <w:color w:val="000000"/>
          <w:shd w:val="clear" w:color="auto" w:fill="FFFFFF"/>
        </w:rPr>
        <w:t>a název veřejné zakázky</w:t>
      </w:r>
      <w:r w:rsidRPr="00961CEB">
        <w:rPr>
          <w:color w:val="000000"/>
          <w:shd w:val="clear" w:color="auto" w:fill="FFFFFF"/>
        </w:rPr>
        <w:t xml:space="preserve">, </w:t>
      </w:r>
      <w:r w:rsidRPr="00961CEB">
        <w:t>případně i další náležitosti, jejichž požadavek kupující písemně sdělí prodávajícímu po podpisu této smlouvy. V případě, že účetní doklady nebudou obsahovat požadované</w:t>
      </w:r>
      <w:r w:rsidRPr="00DB162D">
        <w:t xml:space="preserve"> náležitosti, je </w:t>
      </w:r>
      <w:r>
        <w:t>kupující</w:t>
      </w:r>
      <w:r w:rsidRPr="00DB162D">
        <w:t xml:space="preserve"> oprávněn je vrátit zpět k doplnění, lhůta splatnosti počne běžet znovu od doručení řádně opraveného dokladu.</w:t>
      </w:r>
    </w:p>
    <w:p w14:paraId="53D7CB30" w14:textId="77777777" w:rsidR="0049221F" w:rsidRPr="00127C39" w:rsidRDefault="0049221F" w:rsidP="0049221F">
      <w:pPr>
        <w:pStyle w:val="Nadpis1"/>
      </w:pPr>
      <w:r w:rsidRPr="00127C39">
        <w:t>Záruka, vady, reklamace</w:t>
      </w:r>
    </w:p>
    <w:p w14:paraId="189AD25F" w14:textId="62ED9CE2" w:rsidR="0049221F" w:rsidRDefault="0049221F" w:rsidP="0049221F">
      <w:pPr>
        <w:pStyle w:val="rovezanadpis"/>
      </w:pPr>
      <w:r w:rsidRPr="00384072">
        <w:t xml:space="preserve">Délka záruční doby na dodávku je stanovená na </w:t>
      </w:r>
      <w:r w:rsidRPr="00975A69">
        <w:rPr>
          <w:highlight w:val="yellow"/>
        </w:rPr>
        <w:t>24 měsíců</w:t>
      </w:r>
      <w:r w:rsidRPr="00384072">
        <w:t xml:space="preserve"> ode</w:t>
      </w:r>
      <w:r>
        <w:t xml:space="preserve"> dne převzetí dodávky kupujícím, pokud není v příloze této smlouvy uvedena</w:t>
      </w:r>
      <w:r w:rsidR="004A0281">
        <w:t xml:space="preserve"> delší</w:t>
      </w:r>
      <w:r>
        <w:t xml:space="preserve"> záruční doba.</w:t>
      </w:r>
      <w:r w:rsidRPr="00502286">
        <w:t xml:space="preserve"> Záruční doba neběží po dobu, po kterou nemůže </w:t>
      </w:r>
      <w:r>
        <w:t>k</w:t>
      </w:r>
      <w:r w:rsidRPr="00502286">
        <w:t xml:space="preserve">upující </w:t>
      </w:r>
      <w:r>
        <w:t>d</w:t>
      </w:r>
      <w:r w:rsidRPr="00502286">
        <w:t xml:space="preserve">odávku řádně užívat pro vady, za které nese odpovědnost </w:t>
      </w:r>
      <w:r>
        <w:t>p</w:t>
      </w:r>
      <w:r w:rsidRPr="00502286">
        <w:t>rodávající.</w:t>
      </w:r>
      <w:r w:rsidRPr="00502286">
        <w:tab/>
      </w:r>
    </w:p>
    <w:p w14:paraId="06854980" w14:textId="50A88429" w:rsidR="0049221F" w:rsidRPr="00502286" w:rsidRDefault="0049221F" w:rsidP="0049221F">
      <w:pPr>
        <w:pStyle w:val="rovezanadpis"/>
      </w:pPr>
      <w:r w:rsidRPr="00327EF1">
        <w:t xml:space="preserve">Kupující je povinen prohlédnout </w:t>
      </w:r>
      <w:r>
        <w:t>d</w:t>
      </w:r>
      <w:r w:rsidRPr="00327EF1">
        <w:t xml:space="preserve">odávku v den předání a převzetí v rozsahu znalostí rozhodných pro uživatele </w:t>
      </w:r>
      <w:r>
        <w:t>d</w:t>
      </w:r>
      <w:r w:rsidRPr="00327EF1">
        <w:t>odávky. V případě zjištěných vad či rozporu s</w:t>
      </w:r>
      <w:r>
        <w:t xml:space="preserve"> podanou </w:t>
      </w:r>
      <w:r w:rsidRPr="00327EF1">
        <w:t xml:space="preserve">nabídkou </w:t>
      </w:r>
      <w:r>
        <w:t>p</w:t>
      </w:r>
      <w:r w:rsidRPr="00327EF1">
        <w:t>rodávajícího</w:t>
      </w:r>
      <w:r>
        <w:t xml:space="preserve"> v rámci </w:t>
      </w:r>
      <w:r w:rsidR="00A917AE">
        <w:t xml:space="preserve">výběrového </w:t>
      </w:r>
      <w:r>
        <w:t>řízení</w:t>
      </w:r>
      <w:r w:rsidRPr="00327EF1">
        <w:t xml:space="preserve"> či požadovanou technickou specifikací, může </w:t>
      </w:r>
      <w:r>
        <w:t>k</w:t>
      </w:r>
      <w:r w:rsidRPr="00327EF1">
        <w:t xml:space="preserve">upující odmítnout převzetí </w:t>
      </w:r>
      <w:r>
        <w:t>d</w:t>
      </w:r>
      <w:r w:rsidRPr="00327EF1">
        <w:t xml:space="preserve">odávky. V případě odmítnutí převzetí </w:t>
      </w:r>
      <w:r>
        <w:t>d</w:t>
      </w:r>
      <w:r w:rsidRPr="00327EF1">
        <w:t xml:space="preserve">odávky sdělí </w:t>
      </w:r>
      <w:r>
        <w:t>k</w:t>
      </w:r>
      <w:r w:rsidRPr="00327EF1">
        <w:t xml:space="preserve">upující neprodleně písemně vady </w:t>
      </w:r>
      <w:r>
        <w:t>d</w:t>
      </w:r>
      <w:r w:rsidRPr="00327EF1">
        <w:t>odávky či zjištěný rozpor s</w:t>
      </w:r>
      <w:r>
        <w:t xml:space="preserve"> podanou </w:t>
      </w:r>
      <w:r w:rsidRPr="00327EF1">
        <w:t xml:space="preserve">nabídkou </w:t>
      </w:r>
      <w:r>
        <w:t>p</w:t>
      </w:r>
      <w:r w:rsidRPr="00327EF1">
        <w:t xml:space="preserve">rodávajícího a poskytne </w:t>
      </w:r>
      <w:r>
        <w:t>p</w:t>
      </w:r>
      <w:r w:rsidRPr="00327EF1">
        <w:t xml:space="preserve">rodávajícímu lhůtu k nápravě v délce trvání 10 pracovních dní ode dne doručení sdělení. Pokud v této lhůtě </w:t>
      </w:r>
      <w:r>
        <w:t>p</w:t>
      </w:r>
      <w:r w:rsidRPr="00327EF1">
        <w:t xml:space="preserve">rodávající neprovede potřebné opravy vad </w:t>
      </w:r>
      <w:r>
        <w:t>d</w:t>
      </w:r>
      <w:r w:rsidRPr="00327EF1">
        <w:t xml:space="preserve">odávky či uvedení </w:t>
      </w:r>
      <w:r>
        <w:t>d</w:t>
      </w:r>
      <w:r w:rsidRPr="00327EF1">
        <w:t>odávky do souladu s</w:t>
      </w:r>
      <w:r>
        <w:t xml:space="preserve"> podanou </w:t>
      </w:r>
      <w:r w:rsidRPr="00327EF1">
        <w:t xml:space="preserve">nabídkou, či technickou specifikací, je </w:t>
      </w:r>
      <w:r>
        <w:t>toto prodlení považováno za podstatné porušení smlouvy.</w:t>
      </w:r>
    </w:p>
    <w:p w14:paraId="426175D0" w14:textId="2E0F3C31" w:rsidR="0049221F" w:rsidRDefault="0049221F" w:rsidP="0049221F">
      <w:pPr>
        <w:pStyle w:val="rovezanadpis"/>
        <w:tabs>
          <w:tab w:val="clear" w:pos="1021"/>
          <w:tab w:val="left" w:pos="709"/>
        </w:tabs>
      </w:pPr>
      <w:r w:rsidRPr="00327EF1">
        <w:t>P</w:t>
      </w:r>
      <w:r>
        <w:t>o</w:t>
      </w:r>
      <w:r w:rsidRPr="00327EF1">
        <w:t xml:space="preserve"> </w:t>
      </w:r>
      <w:r>
        <w:t xml:space="preserve">písemném </w:t>
      </w:r>
      <w:r w:rsidRPr="00327EF1">
        <w:t>nahlášení vady v záruční době</w:t>
      </w:r>
      <w:r>
        <w:t xml:space="preserve"> kupujícím na e-mail prodávajícího: </w:t>
      </w:r>
      <w:r w:rsidRPr="001F173F">
        <w:rPr>
          <w:highlight w:val="yellow"/>
        </w:rPr>
        <w:t>[k doplnění]</w:t>
      </w:r>
      <w:r>
        <w:t xml:space="preserve"> </w:t>
      </w:r>
      <w:r w:rsidRPr="00327EF1">
        <w:t xml:space="preserve">je </w:t>
      </w:r>
      <w:r>
        <w:t>prodávající</w:t>
      </w:r>
      <w:r w:rsidRPr="00DB162D">
        <w:t xml:space="preserve"> </w:t>
      </w:r>
      <w:r>
        <w:t xml:space="preserve">povinen </w:t>
      </w:r>
      <w:r w:rsidRPr="00DB162D">
        <w:t>odstran</w:t>
      </w:r>
      <w:r>
        <w:t>it</w:t>
      </w:r>
      <w:r w:rsidRPr="00DB162D">
        <w:t xml:space="preserve"> reklamované vady v</w:t>
      </w:r>
      <w:r>
        <w:t xml:space="preserve"> co </w:t>
      </w:r>
      <w:r w:rsidRPr="00DB162D">
        <w:t>nejkratším termínu, nejdéle však v termínu dohodnutém s </w:t>
      </w:r>
      <w:r>
        <w:t>kupujícím</w:t>
      </w:r>
      <w:r w:rsidRPr="00DB162D">
        <w:t>.</w:t>
      </w:r>
      <w:r>
        <w:t xml:space="preserve"> </w:t>
      </w:r>
      <w:r w:rsidRPr="00DB162D">
        <w:t xml:space="preserve"> Pokud se jedná o vadu omezující provoz, je </w:t>
      </w:r>
      <w:r>
        <w:t>prodávající</w:t>
      </w:r>
      <w:r w:rsidRPr="00DB162D">
        <w:t xml:space="preserve"> povinen ji </w:t>
      </w:r>
      <w:r w:rsidRPr="0084652A">
        <w:t xml:space="preserve">odstranit do 72 hodin od nahlášení. </w:t>
      </w:r>
      <w:r w:rsidR="00A3035A" w:rsidRPr="00A3035A">
        <w:t>Prodávající je povinen průběžně písemně informovat kupujícího o stavu řešení vady až do jejího úplného odstranění.</w:t>
      </w:r>
      <w:r w:rsidR="00A3035A">
        <w:t xml:space="preserve"> </w:t>
      </w:r>
      <w:r w:rsidRPr="0084652A">
        <w:t xml:space="preserve">Jestliže </w:t>
      </w:r>
      <w:r>
        <w:t xml:space="preserve">se prodávající nedohodne s kupujícím na termínu odstranění reklamované vady nebo </w:t>
      </w:r>
      <w:r w:rsidRPr="0084652A">
        <w:t>prodávající neodstraní vadu v dohodnutém termínu, je kupující oprávněn na náklady</w:t>
      </w:r>
      <w:r w:rsidRPr="00DB162D">
        <w:t xml:space="preserve"> </w:t>
      </w:r>
      <w:r>
        <w:t>prodávajícího</w:t>
      </w:r>
      <w:r w:rsidRPr="00DB162D">
        <w:t xml:space="preserve"> vadu odstranit sám nebo za </w:t>
      </w:r>
      <w:r w:rsidRPr="00DB162D">
        <w:lastRenderedPageBreak/>
        <w:t xml:space="preserve">pomoci třetí osoby. </w:t>
      </w:r>
      <w:r>
        <w:t>Kupující</w:t>
      </w:r>
      <w:r w:rsidRPr="00DB162D">
        <w:t xml:space="preserve"> je povinen umožnit </w:t>
      </w:r>
      <w:r>
        <w:t>prodávajícímu</w:t>
      </w:r>
      <w:r w:rsidRPr="00DB162D">
        <w:t xml:space="preserve"> odstranění vady. </w:t>
      </w:r>
      <w:r>
        <w:t>Prodávající</w:t>
      </w:r>
      <w:r w:rsidRPr="00DB162D">
        <w:t xml:space="preserve"> je povinen nastoupit k odstranění vady i v případě, že reklamaci neuznává.</w:t>
      </w:r>
      <w:r>
        <w:t xml:space="preserve"> V případě neoprávněné reklamace má prodávající nárok na úhradu účelně vynaložených nákladů.</w:t>
      </w:r>
    </w:p>
    <w:p w14:paraId="2FF17CE3" w14:textId="77777777" w:rsidR="0049221F" w:rsidRPr="006834B7" w:rsidRDefault="0049221F" w:rsidP="0049221F">
      <w:pPr>
        <w:pStyle w:val="rovezanadpis"/>
        <w:tabs>
          <w:tab w:val="clear" w:pos="1021"/>
          <w:tab w:val="left" w:pos="709"/>
        </w:tabs>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 </w:t>
      </w:r>
    </w:p>
    <w:p w14:paraId="5E50DF83" w14:textId="77777777" w:rsidR="0049221F" w:rsidRPr="004A6C29" w:rsidRDefault="0049221F" w:rsidP="0049221F">
      <w:pPr>
        <w:pStyle w:val="rovezanadpis"/>
        <w:rPr>
          <w:b/>
          <w:bCs/>
        </w:rPr>
      </w:pPr>
      <w:r w:rsidRPr="00384072">
        <w:t>Vady, poruchy nebo reklamace všech položek dodávky kupující uplatňuje přímo u prodávajícího písemnou formou</w:t>
      </w:r>
      <w:r>
        <w:t>, přičemž za písemnou formu je považován i e-mail</w:t>
      </w:r>
      <w:r w:rsidRPr="00384072">
        <w:t>.</w:t>
      </w:r>
      <w:r>
        <w:t xml:space="preserve"> V případě, že dojde ke změně doručovací adresy na straně prodávajícího, je tento povinen tuto změnu bez zbytečného odkladu písemně oznámit kupujícímu.</w:t>
      </w:r>
    </w:p>
    <w:p w14:paraId="71326296" w14:textId="77777777" w:rsidR="00B11921" w:rsidRPr="0011340C" w:rsidRDefault="00B11921" w:rsidP="00B11921">
      <w:pPr>
        <w:pStyle w:val="rovezanadpis"/>
      </w:pPr>
      <w:r w:rsidRPr="0011340C">
        <w:t>Reklamaci lze uplatnit nejpozději do posledního dne záruční lhůty, přičemž i reklamace odeslaná v poslední den záruční lhůty se považuje za včas uplatněnou.</w:t>
      </w:r>
    </w:p>
    <w:p w14:paraId="4959D227" w14:textId="77777777" w:rsidR="00B11921" w:rsidRPr="00384072" w:rsidRDefault="00B11921" w:rsidP="00A3035A">
      <w:pPr>
        <w:pStyle w:val="rovezanadpis"/>
        <w:numPr>
          <w:ilvl w:val="0"/>
          <w:numId w:val="0"/>
        </w:numPr>
        <w:ind w:left="709"/>
        <w:rPr>
          <w:b/>
          <w:bCs/>
        </w:rPr>
      </w:pPr>
    </w:p>
    <w:p w14:paraId="5F9B96A1" w14:textId="77777777" w:rsidR="0049221F" w:rsidRPr="00127C39" w:rsidRDefault="0049221F" w:rsidP="0049221F">
      <w:pPr>
        <w:pStyle w:val="Nadpis1"/>
      </w:pPr>
      <w:r w:rsidRPr="00127C39">
        <w:t>sankce</w:t>
      </w:r>
    </w:p>
    <w:p w14:paraId="6EEE89DC" w14:textId="77777777" w:rsidR="0049221F" w:rsidRPr="00384072" w:rsidRDefault="0049221F" w:rsidP="0049221F">
      <w:pPr>
        <w:pStyle w:val="rovezanadpis"/>
      </w:pPr>
      <w:r>
        <w:t>V případě prodlení kupujícího s úhradou faktury má prodávající</w:t>
      </w:r>
      <w:r w:rsidRPr="00112D95">
        <w:t xml:space="preserve"> nárok </w:t>
      </w:r>
      <w:r>
        <w:t>na úrok z prodlení</w:t>
      </w:r>
      <w:r w:rsidRPr="00112D95">
        <w:t xml:space="preserve"> ve výši 0,</w:t>
      </w:r>
      <w:r w:rsidR="00975A69">
        <w:t>05</w:t>
      </w:r>
      <w:r w:rsidRPr="00112D95">
        <w:t xml:space="preserve"> % z dlužné částky bez DPH za každý den prodlení.</w:t>
      </w:r>
    </w:p>
    <w:p w14:paraId="502BA1ED" w14:textId="77777777" w:rsidR="0049221F" w:rsidRDefault="0049221F" w:rsidP="0049221F">
      <w:pPr>
        <w:pStyle w:val="rovezanadpis"/>
      </w:pPr>
      <w:r>
        <w:t>V případě prodlení prodávajícího s montáží dodávky je prodávající povinen zaplatit kupujícímu</w:t>
      </w:r>
      <w:r w:rsidRPr="00112D95">
        <w:t xml:space="preserve"> smluvní pokutu ve výši 0,</w:t>
      </w:r>
      <w:r w:rsidR="00975A69">
        <w:t>05</w:t>
      </w:r>
      <w:r w:rsidRPr="00112D95">
        <w:t xml:space="preserve"> % z ceny dodávky</w:t>
      </w:r>
      <w:r>
        <w:t xml:space="preserve"> bez DPH</w:t>
      </w:r>
      <w:r w:rsidRPr="00112D95">
        <w:t xml:space="preserve"> za každý započatý den prodlení. </w:t>
      </w:r>
    </w:p>
    <w:p w14:paraId="34EFD53E" w14:textId="77777777" w:rsidR="0049221F" w:rsidRPr="00384072" w:rsidRDefault="0049221F" w:rsidP="0049221F">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w:t>
      </w:r>
      <w:r w:rsidRPr="0084652A">
        <w:t>pokutu ve výši 1.000 Kč za</w:t>
      </w:r>
      <w:r>
        <w:t> </w:t>
      </w:r>
      <w:r w:rsidRPr="00DB162D">
        <w:t>každou reklamovanou vadu a za každý započatý den prodlení</w:t>
      </w:r>
      <w:r>
        <w:t>.</w:t>
      </w:r>
    </w:p>
    <w:p w14:paraId="6FD484AF" w14:textId="77777777" w:rsidR="0049221F" w:rsidRPr="00384072" w:rsidRDefault="0049221F" w:rsidP="0049221F">
      <w:pPr>
        <w:pStyle w:val="rovezanadpis"/>
        <w:rPr>
          <w:b/>
          <w:bCs/>
        </w:rPr>
      </w:pPr>
      <w:r w:rsidRPr="00384072">
        <w:t>Zaplacením výše uvedených smluvních pokut není dotčen nárok na náhradu škody.</w:t>
      </w:r>
    </w:p>
    <w:p w14:paraId="46F3339F" w14:textId="77777777" w:rsidR="0049221F" w:rsidRPr="00384072" w:rsidRDefault="0049221F" w:rsidP="0049221F">
      <w:pPr>
        <w:pStyle w:val="rovezanadpis"/>
        <w:rPr>
          <w:b/>
          <w:bCs/>
        </w:rPr>
      </w:pPr>
      <w:r w:rsidRPr="00384072">
        <w:t>Jiné smluvní pokuty nejsou přípustné.</w:t>
      </w:r>
    </w:p>
    <w:p w14:paraId="7B1032F3" w14:textId="77777777" w:rsidR="0049221F" w:rsidRPr="00384072" w:rsidRDefault="0049221F" w:rsidP="0049221F">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proti neuhrazené faktuře vydané prodávajícím.</w:t>
      </w:r>
    </w:p>
    <w:p w14:paraId="377F8C77" w14:textId="77777777" w:rsidR="0049221F" w:rsidRPr="00127C39" w:rsidRDefault="0049221F" w:rsidP="0049221F">
      <w:pPr>
        <w:pStyle w:val="Nadpis1"/>
      </w:pPr>
      <w:r w:rsidRPr="00127C39">
        <w:t>Další ujednání</w:t>
      </w:r>
    </w:p>
    <w:p w14:paraId="333C7232" w14:textId="42301996" w:rsidR="0049221F" w:rsidRDefault="0049221F" w:rsidP="0049221F">
      <w:pPr>
        <w:pStyle w:val="rovezanadpis"/>
      </w:pPr>
      <w:r>
        <w:t xml:space="preserve">Prodávající se zavazuje, že dodá zboží dle své nabídky podané v rámci </w:t>
      </w:r>
      <w:r w:rsidR="004A0281">
        <w:t xml:space="preserve">výběrového </w:t>
      </w:r>
      <w:r>
        <w:t>řízení „</w:t>
      </w:r>
      <w:r w:rsidR="00975A69" w:rsidRPr="00975A69">
        <w:t>Podpora technického vzdělávání v DDM Kopřivnice</w:t>
      </w:r>
      <w:r>
        <w:t xml:space="preserve">“ a dle zadávací dokumentace k tomuto </w:t>
      </w:r>
      <w:r w:rsidR="00A917AE">
        <w:t>výběrovému</w:t>
      </w:r>
      <w:r>
        <w:t xml:space="preserve"> řízení. Po domluvě s kupujícím lze dodat i jiné zboží stejného nebo lepšího standardu, než je uveden v položkovém rozpočtu včetně specifikace. Ve výjimečných případech, které nemohly být předem známy, lze po zdůvodnění a odsouhlasení ze strany kupujícího provést částečné úpravy technické specifikace, nikdy však nesmí dojít k dodání zboží horšího standardu, než byl uveden v zadávací dokumentaci k veřejné zakázce.</w:t>
      </w:r>
    </w:p>
    <w:p w14:paraId="30F5AE26" w14:textId="5077E55D" w:rsidR="0049221F" w:rsidRDefault="0049221F" w:rsidP="0049221F">
      <w:pPr>
        <w:pStyle w:val="rovezanadpis"/>
      </w:pPr>
      <w:r>
        <w:lastRenderedPageBreak/>
        <w:t>Prodávající je povinen na žádost kupujícího koordinovat plnění této smlouvy s dodavateli veřejné zakázky „</w:t>
      </w:r>
      <w:r w:rsidR="00A3035A" w:rsidRPr="00A3035A">
        <w:t>DDM Kopřivnice – rekonstrukce sociálních zařízení včetně bezbariérové úpravy, elektroinstalace a rozvodů TZB</w:t>
      </w:r>
      <w:r w:rsidRPr="00475A53">
        <w:t>“</w:t>
      </w:r>
      <w:r>
        <w:t>.</w:t>
      </w:r>
    </w:p>
    <w:p w14:paraId="5C26B44E" w14:textId="77777777" w:rsidR="0049221F" w:rsidRPr="00E752B8" w:rsidRDefault="0049221F" w:rsidP="0049221F">
      <w:pPr>
        <w:pStyle w:val="rovezanadpis"/>
      </w:pPr>
      <w:r w:rsidRPr="00384072">
        <w:t>Prodávající se zavazuje předat kupujícímu spolu s předmětným zbožím i doklady</w:t>
      </w:r>
      <w:r>
        <w:t xml:space="preserve"> (popř. i čestná prohlášení)</w:t>
      </w:r>
      <w:r w:rsidRPr="00384072">
        <w:t xml:space="preserve">, </w:t>
      </w:r>
      <w:r w:rsidRPr="000367E4">
        <w:t xml:space="preserve">kterými </w:t>
      </w:r>
      <w:r>
        <w:t>potvrdí</w:t>
      </w:r>
      <w:r w:rsidRPr="000367E4">
        <w:t xml:space="preserve">, že jednotlivé dodané prvky odpovídají specifikaci uvedené </w:t>
      </w:r>
      <w:r>
        <w:t>v položkovém rozpočtu včetně specifikace</w:t>
      </w:r>
      <w:r w:rsidRPr="000367E4">
        <w:t xml:space="preserve">, který je součástí </w:t>
      </w:r>
      <w:r>
        <w:t>této smlouvy,</w:t>
      </w:r>
      <w:r w:rsidRPr="000367E4">
        <w:t xml:space="preserve"> a</w:t>
      </w:r>
      <w:r>
        <w:t> </w:t>
      </w:r>
      <w:r w:rsidRPr="000367E4">
        <w:t>dále doklady, které se ke zboží vztahují a jsou potřebné k jeho řádnému užívání, zejména návod k obsluze v českém jazyce a prohlášení o shodě.</w:t>
      </w:r>
    </w:p>
    <w:p w14:paraId="53DFFFA2" w14:textId="7A3AF1AD" w:rsidR="0049221F" w:rsidRDefault="0049221F" w:rsidP="0049221F">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w:t>
      </w:r>
      <w:r w:rsidR="004A0281">
        <w:t>e výběrovém</w:t>
      </w:r>
      <w:r>
        <w:t xml:space="preserve">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v</w:t>
      </w:r>
      <w:r w:rsidR="004A0281">
        <w:t xml:space="preserve">e výběrovém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t xml:space="preserve"> </w:t>
      </w:r>
    </w:p>
    <w:p w14:paraId="535EC7E3" w14:textId="77777777" w:rsidR="0049221F" w:rsidRDefault="0049221F" w:rsidP="0049221F">
      <w:pPr>
        <w:pStyle w:val="rovezanadpis"/>
        <w:tabs>
          <w:tab w:val="clear" w:pos="1021"/>
          <w:tab w:val="left" w:pos="709"/>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762727BA" w14:textId="77777777" w:rsidR="0049221F" w:rsidRDefault="0049221F" w:rsidP="0049221F">
      <w:pPr>
        <w:pStyle w:val="rovezanadpis"/>
        <w:tabs>
          <w:tab w:val="clear" w:pos="1021"/>
          <w:tab w:val="left" w:pos="709"/>
        </w:tabs>
      </w:pPr>
      <w:r>
        <w:t>Prodávající tímto prohlašuje, že je odpovědný za vzniklou škodu v důsledku neproplacené dotace kupujícímu z důvodu nedodržení těchto smluvních podmínek, a</w:t>
      </w:r>
      <w:r w:rsidR="00975A69">
        <w:t> </w:t>
      </w:r>
      <w:r>
        <w:t>to zejména nedodržení termínu dodání. Prodávající se pak zavazuje uhradit kupujícímu škodu rovnající se výši neproplacené dotace z důvodu nedodržení smluvních podmínek ze strany prodávajícího. Ostatní nároky na náhradu škody či sankce zůstávají nedotčeny.</w:t>
      </w:r>
    </w:p>
    <w:p w14:paraId="572C09B9" w14:textId="77777777" w:rsidR="0049221F" w:rsidRPr="00BE2B19" w:rsidRDefault="0049221F" w:rsidP="0049221F">
      <w:pPr>
        <w:pStyle w:val="Nadpis1"/>
      </w:pPr>
      <w:r w:rsidRPr="00BE2B19">
        <w:t>Odstoupení od smlouvy</w:t>
      </w:r>
      <w:r>
        <w:t>, ukončení dohodou</w:t>
      </w:r>
    </w:p>
    <w:p w14:paraId="4F7DE17D" w14:textId="77777777" w:rsidR="0049221F" w:rsidRPr="00BE2B19" w:rsidRDefault="0049221F" w:rsidP="0049221F">
      <w:pPr>
        <w:pStyle w:val="rovezanadpis"/>
      </w:pPr>
      <w:r w:rsidRPr="00BE2B19">
        <w:t>Za podstatné porušení smlouvy dle § 2002 a násl. občanského zákoníku, při kterém je druhá strana oprávněna odstoupit od smlouvy, se považuje zejména:</w:t>
      </w:r>
    </w:p>
    <w:p w14:paraId="2B4045BD" w14:textId="77777777" w:rsidR="0049221F" w:rsidRPr="00D91290" w:rsidRDefault="0049221F" w:rsidP="0049221F">
      <w:pPr>
        <w:pStyle w:val="Psmena"/>
        <w:numPr>
          <w:ilvl w:val="3"/>
          <w:numId w:val="3"/>
        </w:numPr>
        <w:ind w:left="709"/>
      </w:pPr>
      <w:r w:rsidRPr="00D91290">
        <w:t xml:space="preserve">prodlení </w:t>
      </w:r>
      <w:r>
        <w:t>prodávajícího</w:t>
      </w:r>
      <w:r w:rsidRPr="00D91290">
        <w:t xml:space="preserve"> </w:t>
      </w:r>
      <w:r>
        <w:t>s plněním</w:t>
      </w:r>
      <w:r w:rsidRPr="00D91290">
        <w:t xml:space="preserve"> </w:t>
      </w:r>
      <w:r>
        <w:t xml:space="preserve">dle čl. 2.4 této smlouvy </w:t>
      </w:r>
      <w:r w:rsidRPr="00D91290">
        <w:t>o více než 30 dnů</w:t>
      </w:r>
      <w:r>
        <w:t>,</w:t>
      </w:r>
    </w:p>
    <w:p w14:paraId="5BC02885" w14:textId="77777777" w:rsidR="0049221F" w:rsidRDefault="0049221F" w:rsidP="0049221F">
      <w:pPr>
        <w:pStyle w:val="Psmena"/>
      </w:pPr>
      <w:r w:rsidRPr="00D91290">
        <w:t xml:space="preserve">úpadek </w:t>
      </w:r>
      <w:r>
        <w:t>kupujícího či prodávajícího</w:t>
      </w:r>
      <w:r w:rsidRPr="00D91290">
        <w:t xml:space="preserve"> ve smyslu zák. č. 182/2006 Sb., insolvenčního zákona</w:t>
      </w:r>
      <w:r>
        <w:t>, ve znění pozdějších předpisů,</w:t>
      </w:r>
    </w:p>
    <w:p w14:paraId="75DF4D61" w14:textId="77777777" w:rsidR="0049221F" w:rsidRDefault="0049221F" w:rsidP="0049221F">
      <w:pPr>
        <w:pStyle w:val="Psmena"/>
      </w:pPr>
      <w:r>
        <w:t>prodlení prodávajícího dle čl. 4.2 této smlouvy o déle než 5 pracovních dní,</w:t>
      </w:r>
    </w:p>
    <w:p w14:paraId="12A884FE" w14:textId="77777777" w:rsidR="0049221F" w:rsidRPr="00D91290" w:rsidRDefault="0049221F" w:rsidP="0049221F">
      <w:pPr>
        <w:pStyle w:val="Psmena"/>
      </w:pPr>
      <w:r>
        <w:t>neodstranitelné vady dodávky.</w:t>
      </w:r>
    </w:p>
    <w:p w14:paraId="6602B666" w14:textId="77777777" w:rsidR="0049221F" w:rsidRPr="00BE2B19" w:rsidRDefault="0049221F" w:rsidP="0049221F">
      <w:pPr>
        <w:pStyle w:val="rovezanadpis"/>
      </w:pPr>
      <w:r w:rsidRPr="00BE2B19">
        <w:t>Účinky odstoupení od smlouvy nastávají dnem doručení oznámení o odstoupení druhé straně smlouvy.</w:t>
      </w:r>
    </w:p>
    <w:p w14:paraId="111C54C1" w14:textId="77777777" w:rsidR="0049221F" w:rsidRDefault="0049221F" w:rsidP="0049221F">
      <w:pPr>
        <w:pStyle w:val="rovezanadpis"/>
      </w:pPr>
      <w:r w:rsidRPr="00BE2B19">
        <w:t>Tuto smlouvu je</w:t>
      </w:r>
      <w:r>
        <w:t xml:space="preserve"> rovněž</w:t>
      </w:r>
      <w:r w:rsidRPr="00BE2B19">
        <w:t xml:space="preserve"> možno ukončit písemnou dohodou smluvních stran.</w:t>
      </w:r>
    </w:p>
    <w:p w14:paraId="06EC2098" w14:textId="77777777" w:rsidR="0049221F" w:rsidRPr="00BE2B19" w:rsidRDefault="0049221F" w:rsidP="0049221F">
      <w:pPr>
        <w:pStyle w:val="rovezanadpis"/>
      </w:pPr>
      <w:r>
        <w:t>Kupující si vyhrazuje právo odstoupit od smlouvy v případě, že nedojde k poskytnutí dotace na projekt.</w:t>
      </w:r>
    </w:p>
    <w:p w14:paraId="2BAB2EB4" w14:textId="77777777" w:rsidR="0049221F" w:rsidRPr="00BE2B19" w:rsidRDefault="0049221F" w:rsidP="0049221F">
      <w:pPr>
        <w:pStyle w:val="Nadpis1"/>
      </w:pPr>
      <w:r w:rsidRPr="00D91290">
        <w:t>Závěrečná</w:t>
      </w:r>
      <w:r w:rsidRPr="00BE2B19">
        <w:t xml:space="preserve"> ustanovení</w:t>
      </w:r>
    </w:p>
    <w:p w14:paraId="612B6DCE" w14:textId="77777777" w:rsidR="0049221F" w:rsidRPr="00BE2B19" w:rsidRDefault="0049221F" w:rsidP="0049221F">
      <w:pPr>
        <w:pStyle w:val="rovezanadpis"/>
      </w:pPr>
      <w:r w:rsidRPr="00BE2B19">
        <w:t xml:space="preserve">Veškerá jednání </w:t>
      </w:r>
      <w:r>
        <w:t xml:space="preserve">při realizaci smlouvy </w:t>
      </w:r>
      <w:r w:rsidRPr="00BE2B19">
        <w:t xml:space="preserve">budou probíhat v českém jazyce. </w:t>
      </w:r>
    </w:p>
    <w:p w14:paraId="5A205D70" w14:textId="77777777" w:rsidR="0049221F" w:rsidRPr="00BE2B19" w:rsidRDefault="0049221F" w:rsidP="0049221F">
      <w:pPr>
        <w:pStyle w:val="rovezanadpis"/>
      </w:pPr>
      <w:r w:rsidRPr="00BE2B19">
        <w:lastRenderedPageBreak/>
        <w:t>Tuto smlouvu lze měnit pouze číslovanými dodatky, podepsanými oběma smluvními stranami.</w:t>
      </w:r>
    </w:p>
    <w:p w14:paraId="26AD7738" w14:textId="77777777" w:rsidR="0049221F" w:rsidRDefault="0049221F" w:rsidP="0049221F">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67C3578A" w14:textId="77777777" w:rsidR="0049221F" w:rsidRPr="00BE2B19" w:rsidRDefault="0049221F" w:rsidP="0049221F">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4C022BD0" w14:textId="77777777" w:rsidR="0049221F" w:rsidRPr="00BE2B19" w:rsidRDefault="0049221F" w:rsidP="0049221F">
      <w:pPr>
        <w:pStyle w:val="rovezanadpis"/>
      </w:pPr>
      <w:r w:rsidRPr="00BE2B19">
        <w:t>V případě, že některá ze smluvních stran odmítne převzít písemnost nebo její převzetí znemožní, se má za to, že písemnost byla doručena</w:t>
      </w:r>
      <w:r>
        <w:t xml:space="preserve"> okamžikem tohoto odmítnutí nebo znemožnění převzetí</w:t>
      </w:r>
      <w:r w:rsidRPr="00BE2B19">
        <w:t>.</w:t>
      </w:r>
    </w:p>
    <w:p w14:paraId="0A57ACDF" w14:textId="77777777" w:rsidR="0049221F" w:rsidRPr="00BE2B19" w:rsidRDefault="0049221F" w:rsidP="0049221F">
      <w:pPr>
        <w:pStyle w:val="rovezanadpis"/>
      </w:pPr>
      <w:r w:rsidRPr="00BE2B19">
        <w:t>Smlouva se řídí českým právním řádem. Obě strany se dohodly, že pro neupravené vztahy plynoucí z této smlouvy platí příslušná ustanovení občanského zákoníku</w:t>
      </w:r>
      <w:r>
        <w:t>.</w:t>
      </w:r>
    </w:p>
    <w:p w14:paraId="608FA679" w14:textId="77777777" w:rsidR="0049221F" w:rsidRPr="00BE2B19" w:rsidRDefault="0049221F" w:rsidP="0049221F">
      <w:pPr>
        <w:pStyle w:val="rovezanadpis"/>
      </w:pPr>
      <w:r w:rsidRPr="00BE2B19">
        <w:t xml:space="preserve">Osoby podepisující tuto smlouvu svým podpisem stvrzují platnost svého oprávnění </w:t>
      </w:r>
      <w:r>
        <w:t>zastupovat</w:t>
      </w:r>
      <w:r w:rsidRPr="00BE2B19">
        <w:t xml:space="preserve"> smluvní stranu.</w:t>
      </w:r>
    </w:p>
    <w:p w14:paraId="01F26A65" w14:textId="77777777" w:rsidR="0049221F" w:rsidRDefault="0049221F" w:rsidP="0049221F">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4BE85086" w14:textId="77777777" w:rsidR="0049221F" w:rsidRDefault="0049221F" w:rsidP="0049221F">
      <w:pPr>
        <w:pStyle w:val="rovezanadpis"/>
      </w:pPr>
      <w:r>
        <w:t>Platnost této smlouvy nastává připojením platného uznávaného elektronického podpisu podle zákona č. 297/2016 Sb., o službách vytvářejících důvěru pro elektronické transakce, ve znění pozdějších předpisů, obou smluvních stran do této smlouvy. Smlouva nabývá účinnosti dnem uveřejnění v registru smluv.</w:t>
      </w:r>
    </w:p>
    <w:p w14:paraId="2A66087D" w14:textId="252C637B" w:rsidR="00AB4C14" w:rsidRPr="00AB4C14" w:rsidRDefault="00AB4C14" w:rsidP="00AB4C14">
      <w:pPr>
        <w:pStyle w:val="rovezanadpis"/>
      </w:pPr>
      <w:r w:rsidRPr="00AB4C14">
        <w:t>Smluvní strany berou na vědomí, že tato smlouva bude uveřejněna v registru smluv v</w:t>
      </w:r>
      <w:r w:rsidR="00AE76AF">
        <w:t> </w:t>
      </w:r>
      <w:r w:rsidRPr="00AB4C14">
        <w:t xml:space="preserve">souladu s ustanoveními zákona č. 340/2015 Sb., o zvláštních podmínkách účinnosti některých smluv, uveřejňování těchto smluv a o registru smluv. Smlouvu v registru smluv uveřejní </w:t>
      </w:r>
      <w:r>
        <w:t>kupující</w:t>
      </w:r>
      <w:r w:rsidRPr="00AB4C14">
        <w:t>.</w:t>
      </w:r>
    </w:p>
    <w:p w14:paraId="27606BCB" w14:textId="77777777" w:rsidR="0049221F" w:rsidRDefault="0049221F" w:rsidP="0049221F">
      <w:pPr>
        <w:pStyle w:val="rovezanadpis"/>
      </w:pPr>
      <w:r>
        <w:t>Plnění předmětu této smlouvy před její účinností se považuje za plnění podle této smlouvy a práva a povinnosti z něj vzniklé se řídí touto smlouvou.</w:t>
      </w:r>
    </w:p>
    <w:p w14:paraId="3914100E" w14:textId="571923DE" w:rsidR="00AB4C14" w:rsidRPr="006703FF" w:rsidRDefault="00AB4C14" w:rsidP="00AB4C14">
      <w:pPr>
        <w:pStyle w:val="rovezanadpis"/>
        <w:tabs>
          <w:tab w:val="clear" w:pos="1021"/>
          <w:tab w:val="left" w:pos="709"/>
        </w:tabs>
        <w:spacing w:before="120" w:after="120" w:line="240" w:lineRule="auto"/>
        <w:rPr>
          <w:rFonts w:cs="Times New Roman"/>
        </w:rPr>
      </w:pPr>
      <w:r>
        <w:t>Uzavření této smlouvy schválila</w:t>
      </w:r>
      <w:r w:rsidRPr="004756F2">
        <w:t xml:space="preserve"> </w:t>
      </w:r>
      <w:r>
        <w:t xml:space="preserve">Rada města Kopřivnice </w:t>
      </w:r>
      <w:r w:rsidRPr="009971AB">
        <w:t>usnesením č.</w:t>
      </w:r>
      <w:r w:rsidR="003F088B">
        <w:t xml:space="preserve"> …. </w:t>
      </w:r>
      <w:r w:rsidRPr="003F088B">
        <w:rPr>
          <w:highlight w:val="yellow"/>
        </w:rPr>
        <w:t>[</w:t>
      </w:r>
      <w:r w:rsidRPr="004F5B6B">
        <w:rPr>
          <w:highlight w:val="yellow"/>
        </w:rPr>
        <w:t xml:space="preserve">doplní </w:t>
      </w:r>
      <w:r w:rsidR="00896CF9">
        <w:rPr>
          <w:highlight w:val="yellow"/>
        </w:rPr>
        <w:t>kupující</w:t>
      </w:r>
      <w:r w:rsidRPr="003F088B">
        <w:rPr>
          <w:highlight w:val="yellow"/>
        </w:rPr>
        <w:t>]</w:t>
      </w:r>
      <w:r w:rsidRPr="003F088B">
        <w:t xml:space="preserve"> </w:t>
      </w:r>
      <w:r>
        <w:t xml:space="preserve">dne </w:t>
      </w:r>
      <w:r w:rsidR="00C53E89">
        <w:rPr>
          <w:highlight w:val="yellow"/>
        </w:rPr>
        <w:t>..........................</w:t>
      </w:r>
      <w:r w:rsidR="00B11921">
        <w:rPr>
          <w:highlight w:val="yellow"/>
        </w:rPr>
        <w:t>2020</w:t>
      </w:r>
      <w:r w:rsidRPr="004F5B6B">
        <w:rPr>
          <w:highlight w:val="yellow"/>
        </w:rPr>
        <w:t xml:space="preserve"> </w:t>
      </w:r>
      <w:r w:rsidRPr="003F088B">
        <w:rPr>
          <w:highlight w:val="yellow"/>
        </w:rPr>
        <w:t>[</w:t>
      </w:r>
      <w:r w:rsidRPr="004F5B6B">
        <w:rPr>
          <w:highlight w:val="yellow"/>
        </w:rPr>
        <w:t xml:space="preserve">doplní </w:t>
      </w:r>
      <w:r w:rsidR="00896CF9">
        <w:rPr>
          <w:highlight w:val="yellow"/>
        </w:rPr>
        <w:t>kupující</w:t>
      </w:r>
      <w:r w:rsidRPr="003F088B">
        <w:rPr>
          <w:highlight w:val="yellow"/>
        </w:rPr>
        <w:t>].</w:t>
      </w:r>
    </w:p>
    <w:p w14:paraId="51B8C399" w14:textId="77777777" w:rsidR="0049221F" w:rsidRDefault="0049221F" w:rsidP="0049221F">
      <w:pPr>
        <w:pStyle w:val="rovezanadpis"/>
      </w:pPr>
      <w:r w:rsidRPr="00BE2B19">
        <w:t xml:space="preserve">Smluvní strany prohlašují, že žádná informace uvedená v této smlouvě není </w:t>
      </w:r>
      <w:r w:rsidRPr="00196699">
        <w:t>předmětem obchodního tajemství ve smyslu § 504 občanského zákoníku. Tato smlouva bude uveřejněna v souladu s platnými právními předpisy.</w:t>
      </w:r>
    </w:p>
    <w:p w14:paraId="3834AE9B" w14:textId="77777777" w:rsidR="0049221F" w:rsidRPr="0061654B" w:rsidRDefault="0049221F" w:rsidP="0049221F">
      <w:pPr>
        <w:numPr>
          <w:ilvl w:val="1"/>
          <w:numId w:val="1"/>
        </w:numPr>
        <w:tabs>
          <w:tab w:val="left" w:pos="1021"/>
        </w:tabs>
        <w:spacing w:before="60" w:after="60" w:line="259" w:lineRule="auto"/>
        <w:ind w:left="709" w:hanging="709"/>
        <w:jc w:val="both"/>
        <w:rPr>
          <w:rFonts w:ascii="Arial" w:eastAsia="Times New Roman" w:hAnsi="Arial" w:cs="Arial"/>
          <w:color w:val="000000" w:themeColor="text1"/>
          <w:lang w:eastAsia="cs-CZ"/>
        </w:rPr>
      </w:pPr>
      <w:r w:rsidRPr="0061654B">
        <w:rPr>
          <w:rFonts w:ascii="Arial" w:eastAsia="Times New Roman" w:hAnsi="Arial" w:cs="Arial"/>
          <w:color w:val="000000" w:themeColor="text1"/>
          <w:lang w:eastAsia="cs-CZ"/>
        </w:rPr>
        <w:t>Ustanovení o součinnosti s kontrolními orgány:</w:t>
      </w:r>
    </w:p>
    <w:p w14:paraId="581B4AF8" w14:textId="77777777" w:rsidR="0049221F" w:rsidRPr="0061654B" w:rsidRDefault="0049221F" w:rsidP="0049221F">
      <w:pPr>
        <w:pStyle w:val="Psmena"/>
        <w:numPr>
          <w:ilvl w:val="3"/>
          <w:numId w:val="4"/>
        </w:numPr>
        <w:spacing w:line="259" w:lineRule="auto"/>
        <w:ind w:left="709" w:hanging="283"/>
      </w:pPr>
      <w:r>
        <w:t>Prodávající</w:t>
      </w:r>
      <w:r w:rsidRPr="0061654B">
        <w:t xml:space="preserve"> je povinen uchovávat veškerou dokumentaci související s realizací projektu včetně účetních dokladů nejméně po dobu 10 let od finančního ukončení projektu, zároveň však minimálně do konce roku 2028. </w:t>
      </w:r>
    </w:p>
    <w:p w14:paraId="2A18040E" w14:textId="6B66D1A0" w:rsidR="0049221F" w:rsidRPr="0061654B" w:rsidRDefault="0049221F" w:rsidP="0049221F">
      <w:pPr>
        <w:numPr>
          <w:ilvl w:val="3"/>
          <w:numId w:val="2"/>
        </w:numPr>
        <w:spacing w:after="0" w:line="259" w:lineRule="auto"/>
        <w:ind w:left="709" w:hanging="283"/>
        <w:jc w:val="both"/>
        <w:rPr>
          <w:rFonts w:ascii="Arial" w:eastAsiaTheme="majorEastAsia" w:hAnsi="Arial" w:cs="Arial"/>
          <w:bCs/>
        </w:rPr>
      </w:pPr>
      <w:r>
        <w:rPr>
          <w:rFonts w:ascii="Arial" w:eastAsiaTheme="majorEastAsia" w:hAnsi="Arial" w:cs="Arial"/>
          <w:bCs/>
        </w:rPr>
        <w:t>Prodávající</w:t>
      </w:r>
      <w:r w:rsidRPr="0061654B">
        <w:rPr>
          <w:rFonts w:ascii="Arial" w:eastAsiaTheme="majorEastAsia" w:hAnsi="Arial" w:cs="Arial"/>
          <w:bCs/>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w:t>
      </w:r>
      <w:r w:rsidR="00AE76AF">
        <w:rPr>
          <w:rFonts w:ascii="Arial" w:eastAsiaTheme="majorEastAsia" w:hAnsi="Arial" w:cs="Arial"/>
          <w:bCs/>
        </w:rPr>
        <w:t> </w:t>
      </w:r>
      <w:bookmarkStart w:id="4" w:name="_GoBack"/>
      <w:bookmarkEnd w:id="4"/>
      <w:r w:rsidRPr="0061654B">
        <w:rPr>
          <w:rFonts w:ascii="Arial" w:eastAsiaTheme="majorEastAsia" w:hAnsi="Arial" w:cs="Arial"/>
          <w:bCs/>
        </w:rPr>
        <w:t>poskytnout jim při provádění kontroly součinnost.</w:t>
      </w:r>
    </w:p>
    <w:p w14:paraId="76605F81" w14:textId="77777777" w:rsidR="0049221F" w:rsidRPr="0061654B" w:rsidRDefault="0049221F" w:rsidP="0049221F">
      <w:pPr>
        <w:numPr>
          <w:ilvl w:val="3"/>
          <w:numId w:val="2"/>
        </w:numPr>
        <w:spacing w:after="0" w:line="259" w:lineRule="auto"/>
        <w:ind w:left="709" w:hanging="283"/>
        <w:jc w:val="both"/>
        <w:rPr>
          <w:rFonts w:ascii="Arial" w:eastAsiaTheme="majorEastAsia" w:hAnsi="Arial" w:cs="Arial"/>
          <w:bCs/>
        </w:rPr>
      </w:pPr>
      <w:r>
        <w:rPr>
          <w:rFonts w:ascii="Arial" w:hAnsi="Arial" w:cs="Arial"/>
        </w:rPr>
        <w:t>Prodávající</w:t>
      </w:r>
      <w:r w:rsidRPr="0061654B">
        <w:rPr>
          <w:rFonts w:ascii="Arial" w:hAnsi="Arial" w:cs="Arial"/>
        </w:rPr>
        <w:t xml:space="preserve"> se zavazuje, že v souladu s § 2 písm. e) zákona č. 320/2001 Sb., o</w:t>
      </w:r>
      <w:r>
        <w:rPr>
          <w:rFonts w:ascii="Arial" w:hAnsi="Arial" w:cs="Arial"/>
        </w:rPr>
        <w:t> </w:t>
      </w:r>
      <w:r w:rsidRPr="0061654B">
        <w:rPr>
          <w:rFonts w:ascii="Arial" w:hAnsi="Arial" w:cs="Arial"/>
        </w:rPr>
        <w:t>finanční kontrole je osobou povinnou spolupůsobit při výkonu finanční kontroly.</w:t>
      </w:r>
    </w:p>
    <w:p w14:paraId="6A3CD092" w14:textId="77777777" w:rsidR="0049221F" w:rsidRPr="005E19A8" w:rsidRDefault="0049221F" w:rsidP="0049221F">
      <w:pPr>
        <w:pStyle w:val="rovezanadpis"/>
      </w:pPr>
      <w:r w:rsidRPr="005E19A8">
        <w:lastRenderedPageBreak/>
        <w:t>Obě strany smlouvy prohlašují, že si smlouvu přečetly, s jejím obsahem souhlasí a že byla sepsána na základě jejich pravé a svobodné vůle, prosté omylů.</w:t>
      </w:r>
    </w:p>
    <w:p w14:paraId="3A1A62DB" w14:textId="77777777" w:rsidR="0049221F" w:rsidRPr="008B51A6" w:rsidRDefault="0049221F" w:rsidP="0049221F">
      <w:pPr>
        <w:pStyle w:val="rovezanadpis"/>
        <w:tabs>
          <w:tab w:val="clear" w:pos="1021"/>
          <w:tab w:val="left" w:pos="709"/>
        </w:tabs>
      </w:pPr>
      <w:r w:rsidRPr="008B51A6">
        <w:t xml:space="preserve">Tato smlouva je vyhotovena v elektronické podobě. </w:t>
      </w:r>
    </w:p>
    <w:p w14:paraId="214F4207" w14:textId="77777777" w:rsidR="0049221F" w:rsidRDefault="0049221F" w:rsidP="0049221F">
      <w:pPr>
        <w:pStyle w:val="rovezanadpis"/>
      </w:pPr>
      <w:r w:rsidRPr="005E19A8">
        <w:t>Nedílnou součástí této smlouvy je příloha:</w:t>
      </w:r>
    </w:p>
    <w:p w14:paraId="78A4D18B" w14:textId="77777777" w:rsidR="0049221F" w:rsidRDefault="0049221F" w:rsidP="0049221F">
      <w:pPr>
        <w:pStyle w:val="rovezanadpis"/>
        <w:numPr>
          <w:ilvl w:val="0"/>
          <w:numId w:val="0"/>
        </w:numPr>
        <w:ind w:left="709"/>
      </w:pPr>
      <w:r>
        <w:t xml:space="preserve">Příloha č. 1 – </w:t>
      </w:r>
      <w:r w:rsidRPr="005825F7">
        <w:t>Položkový rozpočet</w:t>
      </w:r>
      <w:r>
        <w:t xml:space="preserve"> včetně specifikace</w:t>
      </w:r>
    </w:p>
    <w:p w14:paraId="6607BAE1" w14:textId="77777777" w:rsidR="0049221F" w:rsidRDefault="0049221F" w:rsidP="0049221F">
      <w:pPr>
        <w:pStyle w:val="Odstavecseseznamem"/>
        <w:keepNext/>
        <w:spacing w:after="0" w:line="240" w:lineRule="auto"/>
        <w:ind w:left="1429" w:hanging="1571"/>
        <w:rPr>
          <w:rFonts w:ascii="Arial" w:hAnsi="Arial" w:cs="Arial"/>
        </w:rPr>
      </w:pPr>
    </w:p>
    <w:p w14:paraId="51992D78" w14:textId="77777777" w:rsidR="00AB4C14" w:rsidRDefault="00AB4C14" w:rsidP="0049221F">
      <w:pPr>
        <w:pStyle w:val="Odstavecseseznamem"/>
        <w:keepNext/>
        <w:spacing w:after="0" w:line="240" w:lineRule="auto"/>
        <w:ind w:left="1429" w:hanging="1571"/>
        <w:rPr>
          <w:rFonts w:ascii="Arial" w:hAnsi="Arial" w:cs="Arial"/>
        </w:rPr>
      </w:pPr>
    </w:p>
    <w:p w14:paraId="7C72255D" w14:textId="77777777" w:rsidR="00AB4C14" w:rsidRDefault="00AB4C14" w:rsidP="0049221F">
      <w:pPr>
        <w:pStyle w:val="Odstavecseseznamem"/>
        <w:keepNext/>
        <w:spacing w:after="0" w:line="240" w:lineRule="auto"/>
        <w:ind w:left="1429" w:hanging="1571"/>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B4C14" w14:paraId="631CD31A" w14:textId="77777777" w:rsidTr="00590E69">
        <w:tc>
          <w:tcPr>
            <w:tcW w:w="4606" w:type="dxa"/>
          </w:tcPr>
          <w:bookmarkEnd w:id="0"/>
          <w:p w14:paraId="421059A5" w14:textId="637A5BF9" w:rsidR="00AB4C14" w:rsidRDefault="00AB4C14" w:rsidP="00B11921">
            <w:pPr>
              <w:keepNext/>
              <w:spacing w:line="259" w:lineRule="auto"/>
              <w:rPr>
                <w:rFonts w:ascii="Arial" w:hAnsi="Arial" w:cs="Arial"/>
              </w:rPr>
            </w:pPr>
            <w:r w:rsidRPr="006B53FB">
              <w:rPr>
                <w:rFonts w:ascii="Arial" w:hAnsi="Arial" w:cs="Arial"/>
              </w:rPr>
              <w:t>V</w:t>
            </w:r>
            <w:r>
              <w:rPr>
                <w:rFonts w:ascii="Arial" w:hAnsi="Arial" w:cs="Arial"/>
              </w:rPr>
              <w:t xml:space="preserve"> Kopřivnici</w:t>
            </w:r>
            <w:r w:rsidRPr="006B53FB">
              <w:rPr>
                <w:rFonts w:ascii="Arial" w:hAnsi="Arial" w:cs="Arial"/>
              </w:rPr>
              <w:t xml:space="preserve"> dne __. __. </w:t>
            </w:r>
            <w:r w:rsidR="00B11921">
              <w:rPr>
                <w:rFonts w:ascii="Arial" w:hAnsi="Arial" w:cs="Arial"/>
              </w:rPr>
              <w:t>2020</w:t>
            </w:r>
          </w:p>
        </w:tc>
        <w:tc>
          <w:tcPr>
            <w:tcW w:w="4606" w:type="dxa"/>
          </w:tcPr>
          <w:p w14:paraId="084BE856" w14:textId="4948AB2C" w:rsidR="00AB4C14" w:rsidRDefault="00AB4C14" w:rsidP="00B11921">
            <w:pPr>
              <w:keepNext/>
              <w:spacing w:line="259" w:lineRule="auto"/>
              <w:rPr>
                <w:rFonts w:ascii="Arial" w:hAnsi="Arial" w:cs="Arial"/>
              </w:rPr>
            </w:pPr>
            <w:r w:rsidRPr="006B53FB">
              <w:rPr>
                <w:rFonts w:ascii="Arial" w:hAnsi="Arial" w:cs="Arial"/>
              </w:rPr>
              <w:t xml:space="preserve">V _________ dne __. __. </w:t>
            </w:r>
            <w:r w:rsidR="00B11921">
              <w:rPr>
                <w:rFonts w:ascii="Arial" w:hAnsi="Arial" w:cs="Arial"/>
              </w:rPr>
              <w:t>2020</w:t>
            </w:r>
          </w:p>
        </w:tc>
      </w:tr>
      <w:tr w:rsidR="00AB4C14" w14:paraId="661BDCB0" w14:textId="77777777" w:rsidTr="00590E69">
        <w:tc>
          <w:tcPr>
            <w:tcW w:w="4606" w:type="dxa"/>
          </w:tcPr>
          <w:p w14:paraId="63DB7E8F" w14:textId="77777777" w:rsidR="00AB4C14" w:rsidRDefault="00AB4C14" w:rsidP="00590E69">
            <w:pPr>
              <w:keepNext/>
              <w:spacing w:after="0" w:line="259" w:lineRule="auto"/>
              <w:rPr>
                <w:rFonts w:ascii="Arial" w:hAnsi="Arial" w:cs="Arial"/>
              </w:rPr>
            </w:pPr>
          </w:p>
          <w:p w14:paraId="76932649" w14:textId="77777777" w:rsidR="00AB4C14" w:rsidRDefault="00AB4C14" w:rsidP="00590E69">
            <w:pPr>
              <w:keepNext/>
              <w:spacing w:after="0" w:line="259" w:lineRule="auto"/>
              <w:rPr>
                <w:rFonts w:ascii="Arial" w:hAnsi="Arial" w:cs="Arial"/>
              </w:rPr>
            </w:pPr>
          </w:p>
          <w:p w14:paraId="0630C5C5" w14:textId="77777777" w:rsidR="00AB4C14" w:rsidRDefault="00AB4C14" w:rsidP="00590E69">
            <w:pPr>
              <w:keepNext/>
              <w:spacing w:after="0" w:line="259" w:lineRule="auto"/>
              <w:rPr>
                <w:rFonts w:ascii="Arial" w:hAnsi="Arial" w:cs="Arial"/>
              </w:rPr>
            </w:pPr>
          </w:p>
          <w:p w14:paraId="181FC4CD" w14:textId="77777777" w:rsidR="00AB4C14" w:rsidRDefault="00AB4C14" w:rsidP="00590E69">
            <w:pPr>
              <w:keepNext/>
              <w:spacing w:after="0" w:line="259" w:lineRule="auto"/>
              <w:rPr>
                <w:rFonts w:ascii="Arial" w:hAnsi="Arial" w:cs="Arial"/>
              </w:rPr>
            </w:pPr>
            <w:r>
              <w:rPr>
                <w:rFonts w:ascii="Arial" w:hAnsi="Arial" w:cs="Arial"/>
              </w:rPr>
              <w:t>______________________</w:t>
            </w:r>
          </w:p>
          <w:p w14:paraId="238F5A12" w14:textId="16D19D0A" w:rsidR="00C53E89" w:rsidRDefault="00C53E89" w:rsidP="00590E69">
            <w:pPr>
              <w:keepNext/>
              <w:spacing w:after="0" w:line="259" w:lineRule="auto"/>
              <w:rPr>
                <w:rFonts w:ascii="Arial" w:hAnsi="Arial" w:cs="Arial"/>
              </w:rPr>
            </w:pPr>
            <w:r>
              <w:rPr>
                <w:rFonts w:ascii="Arial" w:hAnsi="Arial" w:cs="Arial"/>
              </w:rPr>
              <w:t>Kupující</w:t>
            </w:r>
          </w:p>
          <w:p w14:paraId="387CC787" w14:textId="4D7F244D" w:rsidR="00AB4C14" w:rsidRDefault="00B11921" w:rsidP="00590E69">
            <w:pPr>
              <w:keepNext/>
              <w:spacing w:after="0" w:line="259" w:lineRule="auto"/>
              <w:rPr>
                <w:rFonts w:ascii="Arial" w:hAnsi="Arial" w:cs="Arial"/>
              </w:rPr>
            </w:pPr>
            <w:r>
              <w:rPr>
                <w:rFonts w:ascii="Arial" w:hAnsi="Arial" w:cs="Arial"/>
              </w:rPr>
              <w:t>Ing. Miroslav Kopečný</w:t>
            </w:r>
          </w:p>
          <w:p w14:paraId="15CDA2B9" w14:textId="2E926954" w:rsidR="00B11921" w:rsidRDefault="00B11921" w:rsidP="00590E69">
            <w:pPr>
              <w:keepNext/>
              <w:spacing w:after="0" w:line="259" w:lineRule="auto"/>
              <w:rPr>
                <w:rFonts w:ascii="Arial" w:hAnsi="Arial" w:cs="Arial"/>
              </w:rPr>
            </w:pPr>
            <w:r>
              <w:rPr>
                <w:rFonts w:ascii="Arial" w:hAnsi="Arial" w:cs="Arial"/>
              </w:rPr>
              <w:t>starosta města</w:t>
            </w:r>
          </w:p>
        </w:tc>
        <w:tc>
          <w:tcPr>
            <w:tcW w:w="4606" w:type="dxa"/>
          </w:tcPr>
          <w:p w14:paraId="0CE85A2B" w14:textId="77777777" w:rsidR="00AB4C14" w:rsidRDefault="00AB4C14" w:rsidP="00590E69">
            <w:pPr>
              <w:keepNext/>
              <w:spacing w:after="0" w:line="259" w:lineRule="auto"/>
              <w:rPr>
                <w:rFonts w:ascii="Arial" w:hAnsi="Arial" w:cs="Arial"/>
              </w:rPr>
            </w:pPr>
          </w:p>
          <w:p w14:paraId="48D7D79F" w14:textId="77777777" w:rsidR="00AB4C14" w:rsidRDefault="00AB4C14" w:rsidP="00590E69">
            <w:pPr>
              <w:keepNext/>
              <w:spacing w:after="0" w:line="259" w:lineRule="auto"/>
              <w:rPr>
                <w:rFonts w:ascii="Arial" w:hAnsi="Arial" w:cs="Arial"/>
              </w:rPr>
            </w:pPr>
          </w:p>
          <w:p w14:paraId="1B77CADA" w14:textId="77777777" w:rsidR="00AB4C14" w:rsidRDefault="00AB4C14" w:rsidP="00590E69">
            <w:pPr>
              <w:keepNext/>
              <w:spacing w:after="0" w:line="259" w:lineRule="auto"/>
              <w:rPr>
                <w:rFonts w:ascii="Arial" w:hAnsi="Arial" w:cs="Arial"/>
              </w:rPr>
            </w:pPr>
          </w:p>
          <w:p w14:paraId="5DADC9BC" w14:textId="77777777" w:rsidR="00AB4C14" w:rsidRDefault="00AB4C14" w:rsidP="00590E69">
            <w:pPr>
              <w:keepNext/>
              <w:spacing w:after="0" w:line="259" w:lineRule="auto"/>
              <w:rPr>
                <w:rFonts w:ascii="Arial" w:hAnsi="Arial" w:cs="Arial"/>
              </w:rPr>
            </w:pPr>
            <w:r>
              <w:rPr>
                <w:rFonts w:ascii="Arial" w:hAnsi="Arial" w:cs="Arial"/>
              </w:rPr>
              <w:t>______________________</w:t>
            </w:r>
          </w:p>
          <w:p w14:paraId="3A34268B" w14:textId="58575AB5" w:rsidR="00AB4C14" w:rsidRDefault="00C53E89" w:rsidP="00590E69">
            <w:pPr>
              <w:keepNext/>
              <w:spacing w:after="0" w:line="259" w:lineRule="auto"/>
              <w:rPr>
                <w:rFonts w:ascii="Arial" w:hAnsi="Arial" w:cs="Arial"/>
              </w:rPr>
            </w:pPr>
            <w:r>
              <w:rPr>
                <w:rFonts w:ascii="Arial" w:hAnsi="Arial" w:cs="Arial"/>
              </w:rPr>
              <w:t>Prodávající</w:t>
            </w:r>
          </w:p>
          <w:p w14:paraId="6F212881" w14:textId="77777777" w:rsidR="00B11921" w:rsidRDefault="00B11921" w:rsidP="00590E69">
            <w:pPr>
              <w:keepNext/>
              <w:spacing w:after="0" w:line="259" w:lineRule="auto"/>
              <w:rPr>
                <w:rFonts w:ascii="Arial" w:hAnsi="Arial" w:cs="Arial"/>
              </w:rPr>
            </w:pPr>
          </w:p>
        </w:tc>
      </w:tr>
    </w:tbl>
    <w:p w14:paraId="55EE47A5" w14:textId="77777777" w:rsidR="00AB4C14" w:rsidRPr="006B53FB" w:rsidRDefault="00AB4C14" w:rsidP="00AB4C14">
      <w:pPr>
        <w:keepNext/>
        <w:spacing w:after="0" w:line="259" w:lineRule="auto"/>
        <w:rPr>
          <w:rFonts w:ascii="Arial" w:hAnsi="Arial" w:cs="Arial"/>
        </w:rPr>
      </w:pPr>
    </w:p>
    <w:p w14:paraId="313F5A83" w14:textId="77777777" w:rsidR="0009390D" w:rsidRDefault="0009390D"/>
    <w:sectPr w:rsidR="0009390D" w:rsidSect="00CB7CDD">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C131" w14:textId="77777777" w:rsidR="000145A3" w:rsidRDefault="000145A3" w:rsidP="008E7A9B">
      <w:pPr>
        <w:spacing w:after="0" w:line="240" w:lineRule="auto"/>
      </w:pPr>
      <w:r>
        <w:separator/>
      </w:r>
    </w:p>
  </w:endnote>
  <w:endnote w:type="continuationSeparator" w:id="0">
    <w:p w14:paraId="48E701A9" w14:textId="77777777" w:rsidR="000145A3" w:rsidRDefault="000145A3" w:rsidP="008E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B17D" w14:textId="77777777" w:rsidR="00CB7CDD" w:rsidRPr="00E2124F" w:rsidRDefault="004F2810" w:rsidP="00CB7CD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3D682E">
      <w:rPr>
        <w:rFonts w:ascii="Arial" w:eastAsia="Calibri" w:hAnsi="Arial" w:cs="Arial"/>
        <w:noProof/>
        <w:sz w:val="18"/>
        <w:szCs w:val="18"/>
        <w:lang w:val="en-US"/>
      </w:rPr>
      <w:t>6</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3D682E" w:rsidRPr="003D682E">
      <w:rPr>
        <w:rFonts w:ascii="Arial" w:eastAsia="Calibri" w:hAnsi="Arial" w:cs="Arial"/>
        <w:noProof/>
        <w:sz w:val="18"/>
        <w:szCs w:val="18"/>
        <w:lang w:val="en-US"/>
      </w:rPr>
      <w:t>8</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D796" w14:textId="77777777" w:rsidR="00CB7CDD" w:rsidRDefault="000145A3" w:rsidP="00CB7CDD">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E07E" w14:textId="77777777" w:rsidR="000145A3" w:rsidRDefault="000145A3" w:rsidP="008E7A9B">
      <w:pPr>
        <w:spacing w:after="0" w:line="240" w:lineRule="auto"/>
      </w:pPr>
      <w:r>
        <w:separator/>
      </w:r>
    </w:p>
  </w:footnote>
  <w:footnote w:type="continuationSeparator" w:id="0">
    <w:p w14:paraId="00115CA5" w14:textId="77777777" w:rsidR="000145A3" w:rsidRDefault="000145A3" w:rsidP="008E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34B8" w14:textId="77777777" w:rsidR="00CB7CDD" w:rsidRPr="00D543D3" w:rsidRDefault="004F2810" w:rsidP="00CB7CD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8E7A9B" w:rsidRPr="008E7A9B">
      <w:rPr>
        <w:rFonts w:ascii="Arial" w:eastAsia="Calibri" w:hAnsi="Arial" w:cs="Arial"/>
        <w:sz w:val="20"/>
        <w:szCs w:val="20"/>
      </w:rPr>
      <w:t>Podpora technického vzdělávání v DDM Kopřivnice</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63E1" w14:textId="77777777" w:rsidR="00CB7CDD" w:rsidRPr="001D58C7" w:rsidRDefault="004F2810" w:rsidP="00CB7CDD">
    <w:pPr>
      <w:pStyle w:val="Zhlav"/>
      <w:tabs>
        <w:tab w:val="clear" w:pos="4536"/>
        <w:tab w:val="clear" w:pos="9072"/>
        <w:tab w:val="left" w:pos="7350"/>
      </w:tabs>
    </w:pPr>
    <w:r>
      <w:rPr>
        <w:noProof/>
        <w:lang w:eastAsia="cs-CZ"/>
      </w:rPr>
      <w:drawing>
        <wp:inline distT="0" distB="0" distL="0" distR="0" wp14:anchorId="557495C4" wp14:editId="74A27191">
          <wp:extent cx="5431790" cy="895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0F9"/>
    <w:multiLevelType w:val="multilevel"/>
    <w:tmpl w:val="BAB8ADF8"/>
    <w:lvl w:ilvl="0">
      <w:start w:val="6"/>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F46322"/>
    <w:multiLevelType w:val="multilevel"/>
    <w:tmpl w:val="F9EA179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662450EE"/>
    <w:multiLevelType w:val="multilevel"/>
    <w:tmpl w:val="2C1EED0C"/>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1F"/>
    <w:rsid w:val="000145A3"/>
    <w:rsid w:val="00067691"/>
    <w:rsid w:val="0009390D"/>
    <w:rsid w:val="001728A0"/>
    <w:rsid w:val="001842AB"/>
    <w:rsid w:val="0026499A"/>
    <w:rsid w:val="003D682E"/>
    <w:rsid w:val="003F088B"/>
    <w:rsid w:val="0049221F"/>
    <w:rsid w:val="004A0281"/>
    <w:rsid w:val="004A6C29"/>
    <w:rsid w:val="004F2810"/>
    <w:rsid w:val="00623173"/>
    <w:rsid w:val="00661AFC"/>
    <w:rsid w:val="00896CF9"/>
    <w:rsid w:val="008E7A9B"/>
    <w:rsid w:val="00917136"/>
    <w:rsid w:val="00975A69"/>
    <w:rsid w:val="00A3035A"/>
    <w:rsid w:val="00A917AE"/>
    <w:rsid w:val="00AB4C14"/>
    <w:rsid w:val="00AD7EF9"/>
    <w:rsid w:val="00AE76AF"/>
    <w:rsid w:val="00B11921"/>
    <w:rsid w:val="00C53E89"/>
    <w:rsid w:val="00EB03DF"/>
    <w:rsid w:val="00FA3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02D"/>
  <w15:chartTrackingRefBased/>
  <w15:docId w15:val="{1BE7EC3B-DEC3-48F2-8EFE-EDEECE8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9221F"/>
    <w:pPr>
      <w:spacing w:after="200" w:line="276" w:lineRule="auto"/>
    </w:pPr>
  </w:style>
  <w:style w:type="paragraph" w:styleId="Nadpis1">
    <w:name w:val="heading 1"/>
    <w:aliases w:val="_Nadpis 1"/>
    <w:basedOn w:val="Normln"/>
    <w:next w:val="Styl2"/>
    <w:link w:val="Nadpis1Char"/>
    <w:uiPriority w:val="99"/>
    <w:qFormat/>
    <w:rsid w:val="0049221F"/>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49221F"/>
    <w:rPr>
      <w:rFonts w:ascii="Arial" w:eastAsiaTheme="majorEastAsia" w:hAnsi="Arial" w:cs="Arial"/>
      <w:b/>
      <w:bCs/>
      <w:caps/>
      <w:color w:val="808080" w:themeColor="background1" w:themeShade="80"/>
      <w:sz w:val="28"/>
      <w:szCs w:val="28"/>
    </w:rPr>
  </w:style>
  <w:style w:type="paragraph" w:customStyle="1" w:styleId="Styl2">
    <w:name w:val="Styl2"/>
    <w:basedOn w:val="Bezmezer"/>
    <w:uiPriority w:val="99"/>
    <w:qFormat/>
    <w:rsid w:val="0049221F"/>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49221F"/>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49221F"/>
    <w:rPr>
      <w:rFonts w:ascii="Arial" w:eastAsia="Calibri" w:hAnsi="Arial" w:cs="Arial"/>
    </w:rPr>
  </w:style>
  <w:style w:type="paragraph" w:customStyle="1" w:styleId="Psmena">
    <w:name w:val="Písmena"/>
    <w:link w:val="PsmenaChar"/>
    <w:uiPriority w:val="99"/>
    <w:qFormat/>
    <w:rsid w:val="0049221F"/>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49221F"/>
    <w:rPr>
      <w:rFonts w:ascii="Arial" w:eastAsiaTheme="majorEastAsia" w:hAnsi="Arial" w:cs="Arial"/>
      <w:bCs/>
    </w:rPr>
  </w:style>
  <w:style w:type="paragraph" w:styleId="Odstavecseseznamem">
    <w:name w:val="List Paragraph"/>
    <w:basedOn w:val="Normln"/>
    <w:uiPriority w:val="99"/>
    <w:qFormat/>
    <w:rsid w:val="0049221F"/>
    <w:pPr>
      <w:ind w:left="720"/>
      <w:contextualSpacing/>
    </w:pPr>
  </w:style>
  <w:style w:type="paragraph" w:styleId="Zhlav">
    <w:name w:val="header"/>
    <w:basedOn w:val="Normln"/>
    <w:link w:val="ZhlavChar"/>
    <w:uiPriority w:val="99"/>
    <w:unhideWhenUsed/>
    <w:rsid w:val="004922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221F"/>
  </w:style>
  <w:style w:type="paragraph" w:styleId="Zpat">
    <w:name w:val="footer"/>
    <w:basedOn w:val="Normln"/>
    <w:link w:val="ZpatChar"/>
    <w:uiPriority w:val="99"/>
    <w:unhideWhenUsed/>
    <w:rsid w:val="004922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9221F"/>
  </w:style>
  <w:style w:type="table" w:styleId="Mkatabulky">
    <w:name w:val="Table Grid"/>
    <w:basedOn w:val="Normlntabulka"/>
    <w:uiPriority w:val="59"/>
    <w:rsid w:val="0049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uiPriority w:val="99"/>
    <w:qFormat/>
    <w:rsid w:val="0049221F"/>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uiPriority w:val="99"/>
    <w:rsid w:val="0049221F"/>
    <w:rPr>
      <w:rFonts w:ascii="Arial" w:eastAsia="Times New Roman" w:hAnsi="Arial" w:cs="Arial"/>
      <w:lang w:eastAsia="cs-CZ"/>
    </w:rPr>
  </w:style>
  <w:style w:type="paragraph" w:customStyle="1" w:styleId="rovezanadpis">
    <w:name w:val="Úroveň za nadpis"/>
    <w:basedOn w:val="Normln"/>
    <w:link w:val="rovezanadpisChar"/>
    <w:uiPriority w:val="99"/>
    <w:qFormat/>
    <w:rsid w:val="0049221F"/>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uiPriority w:val="99"/>
    <w:rsid w:val="0049221F"/>
    <w:rPr>
      <w:rFonts w:ascii="Arial" w:eastAsia="Times New Roman" w:hAnsi="Arial" w:cs="Arial"/>
      <w:color w:val="000000" w:themeColor="text1"/>
      <w:lang w:eastAsia="cs-CZ"/>
    </w:rPr>
  </w:style>
  <w:style w:type="paragraph" w:customStyle="1" w:styleId="NadpisZD">
    <w:name w:val="Nadpis ZD"/>
    <w:basedOn w:val="Obyejn"/>
    <w:link w:val="NadpisZDChar"/>
    <w:qFormat/>
    <w:rsid w:val="0049221F"/>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49221F"/>
    <w:pPr>
      <w:jc w:val="center"/>
    </w:pPr>
  </w:style>
  <w:style w:type="character" w:customStyle="1" w:styleId="NadpisZDChar">
    <w:name w:val="Nadpis ZD Char"/>
    <w:basedOn w:val="ObyejnChar"/>
    <w:link w:val="NadpisZD"/>
    <w:rsid w:val="0049221F"/>
    <w:rPr>
      <w:rFonts w:ascii="Arial" w:eastAsia="Calibri" w:hAnsi="Arial" w:cs="Arial"/>
      <w:b/>
      <w:sz w:val="40"/>
      <w:szCs w:val="40"/>
      <w:lang w:eastAsia="cs-CZ"/>
    </w:rPr>
  </w:style>
  <w:style w:type="character" w:customStyle="1" w:styleId="VycentrovanChar">
    <w:name w:val="Vycentrovaný Char"/>
    <w:basedOn w:val="ObyejnChar"/>
    <w:link w:val="Vycentrovan"/>
    <w:rsid w:val="0049221F"/>
    <w:rPr>
      <w:rFonts w:ascii="Arial" w:eastAsia="Times New Roman" w:hAnsi="Arial" w:cs="Arial"/>
      <w:lang w:eastAsia="cs-CZ"/>
    </w:rPr>
  </w:style>
  <w:style w:type="character" w:customStyle="1" w:styleId="apple-converted-space">
    <w:name w:val="apple-converted-space"/>
    <w:basedOn w:val="Standardnpsmoodstavce"/>
    <w:rsid w:val="0049221F"/>
  </w:style>
  <w:style w:type="character" w:customStyle="1" w:styleId="datalabel">
    <w:name w:val="datalabel"/>
    <w:basedOn w:val="Standardnpsmoodstavce"/>
    <w:rsid w:val="0049221F"/>
  </w:style>
  <w:style w:type="paragraph" w:styleId="Bezmezer">
    <w:name w:val="No Spacing"/>
    <w:uiPriority w:val="1"/>
    <w:qFormat/>
    <w:rsid w:val="0049221F"/>
    <w:pPr>
      <w:spacing w:after="0" w:line="240" w:lineRule="auto"/>
    </w:pPr>
  </w:style>
  <w:style w:type="paragraph" w:styleId="Textbubliny">
    <w:name w:val="Balloon Text"/>
    <w:basedOn w:val="Normln"/>
    <w:link w:val="TextbublinyChar"/>
    <w:uiPriority w:val="99"/>
    <w:semiHidden/>
    <w:unhideWhenUsed/>
    <w:rsid w:val="004922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21F"/>
    <w:rPr>
      <w:rFonts w:ascii="Segoe UI" w:hAnsi="Segoe UI" w:cs="Segoe UI"/>
      <w:sz w:val="18"/>
      <w:szCs w:val="18"/>
    </w:rPr>
  </w:style>
  <w:style w:type="character" w:styleId="Odkaznakoment">
    <w:name w:val="annotation reference"/>
    <w:basedOn w:val="Standardnpsmoodstavce"/>
    <w:uiPriority w:val="99"/>
    <w:semiHidden/>
    <w:unhideWhenUsed/>
    <w:rsid w:val="00623173"/>
    <w:rPr>
      <w:sz w:val="16"/>
      <w:szCs w:val="16"/>
    </w:rPr>
  </w:style>
  <w:style w:type="paragraph" w:styleId="Textkomente">
    <w:name w:val="annotation text"/>
    <w:basedOn w:val="Normln"/>
    <w:link w:val="TextkomenteChar"/>
    <w:uiPriority w:val="99"/>
    <w:semiHidden/>
    <w:unhideWhenUsed/>
    <w:rsid w:val="00623173"/>
    <w:pPr>
      <w:spacing w:line="240" w:lineRule="auto"/>
    </w:pPr>
    <w:rPr>
      <w:sz w:val="20"/>
      <w:szCs w:val="20"/>
    </w:rPr>
  </w:style>
  <w:style w:type="character" w:customStyle="1" w:styleId="TextkomenteChar">
    <w:name w:val="Text komentáře Char"/>
    <w:basedOn w:val="Standardnpsmoodstavce"/>
    <w:link w:val="Textkomente"/>
    <w:uiPriority w:val="99"/>
    <w:semiHidden/>
    <w:rsid w:val="00623173"/>
    <w:rPr>
      <w:sz w:val="20"/>
      <w:szCs w:val="20"/>
    </w:rPr>
  </w:style>
  <w:style w:type="paragraph" w:styleId="Pedmtkomente">
    <w:name w:val="annotation subject"/>
    <w:basedOn w:val="Textkomente"/>
    <w:next w:val="Textkomente"/>
    <w:link w:val="PedmtkomenteChar"/>
    <w:uiPriority w:val="99"/>
    <w:semiHidden/>
    <w:unhideWhenUsed/>
    <w:rsid w:val="00623173"/>
    <w:rPr>
      <w:b/>
      <w:bCs/>
    </w:rPr>
  </w:style>
  <w:style w:type="character" w:customStyle="1" w:styleId="PedmtkomenteChar">
    <w:name w:val="Předmět komentáře Char"/>
    <w:basedOn w:val="TextkomenteChar"/>
    <w:link w:val="Pedmtkomente"/>
    <w:uiPriority w:val="99"/>
    <w:semiHidden/>
    <w:rsid w:val="00623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2623</Words>
  <Characters>15478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M Tureckova</cp:lastModifiedBy>
  <cp:revision>5</cp:revision>
  <dcterms:created xsi:type="dcterms:W3CDTF">2020-01-03T10:01:00Z</dcterms:created>
  <dcterms:modified xsi:type="dcterms:W3CDTF">2020-01-14T10:49:00Z</dcterms:modified>
</cp:coreProperties>
</file>