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4175D3EE" w14:textId="77777777" w:rsidR="006A7C9D" w:rsidRPr="004D253C" w:rsidRDefault="006A7C9D" w:rsidP="006A7C9D">
      <w:pP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</w:pPr>
      <w:r w:rsidRPr="00AA13F1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Modernizace vnitřní konektivity v ZŠ Alšova, Kopřivnice </w:t>
      </w:r>
      <w:r w:rsidRPr="004D253C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-</w:t>
      </w:r>
    </w:p>
    <w:p w14:paraId="74D28B02" w14:textId="02608014" w:rsidR="000863F4" w:rsidRDefault="006A7C9D" w:rsidP="00FE4FE4">
      <w:pPr>
        <w:rPr>
          <w:rFonts w:ascii="Calibri Light" w:hAnsi="Calibri Light" w:cs="Calibri Light"/>
          <w:color w:val="595959" w:themeColor="text1" w:themeTint="A6"/>
          <w:sz w:val="28"/>
          <w:szCs w:val="28"/>
        </w:rPr>
      </w:pPr>
      <w:r w:rsidRPr="004D253C">
        <w:rPr>
          <w:rFonts w:ascii="Calibri Light" w:hAnsi="Calibri Light" w:cs="Calibri Light"/>
          <w:color w:val="595959" w:themeColor="text1" w:themeTint="A6"/>
          <w:sz w:val="28"/>
          <w:szCs w:val="28"/>
        </w:rPr>
        <w:t>Dodávka</w:t>
      </w:r>
      <w:r>
        <w:rPr>
          <w:rFonts w:ascii="Calibri Light" w:hAnsi="Calibri Light" w:cs="Calibri Light"/>
          <w:color w:val="595959" w:themeColor="text1" w:themeTint="A6"/>
          <w:sz w:val="28"/>
          <w:szCs w:val="28"/>
        </w:rPr>
        <w:t xml:space="preserve"> ICT vybavení</w:t>
      </w:r>
    </w:p>
    <w:p w14:paraId="61DDC591" w14:textId="77777777" w:rsidR="006A7C9D" w:rsidRPr="003B407E" w:rsidRDefault="006A7C9D" w:rsidP="00FE4FE4">
      <w:pPr>
        <w:rPr>
          <w:rFonts w:ascii="Calibri Light" w:hAnsi="Calibri Light" w:cs="Calibri Light"/>
        </w:rPr>
      </w:pPr>
    </w:p>
    <w:p w14:paraId="093E73B0" w14:textId="77777777" w:rsidR="006A7C9D" w:rsidRPr="00AA0E6E" w:rsidRDefault="0008288C" w:rsidP="006A7C9D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A7C9D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6A7C9D" w:rsidRPr="00AA0E6E">
        <w:rPr>
          <w:rFonts w:ascii="Calibri Light" w:hAnsi="Calibri Light" w:cs="Calibri Light"/>
          <w:sz w:val="18"/>
          <w:szCs w:val="18"/>
        </w:rPr>
        <w:t>škola Kopřivnice, Alšova 1123 okres Nový Jičín</w:t>
      </w:r>
    </w:p>
    <w:p w14:paraId="3BE8D578" w14:textId="77777777" w:rsidR="006A7C9D" w:rsidRPr="00AA0E6E" w:rsidRDefault="006A7C9D" w:rsidP="006A7C9D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A0E6E">
        <w:rPr>
          <w:rFonts w:ascii="Calibri Light" w:hAnsi="Calibri Light" w:cs="Calibri Light"/>
          <w:sz w:val="18"/>
          <w:szCs w:val="18"/>
        </w:rPr>
        <w:t xml:space="preserve">se sídlem: </w:t>
      </w:r>
      <w:r w:rsidRPr="00AA0E6E">
        <w:rPr>
          <w:rFonts w:ascii="Calibri Light" w:hAnsi="Calibri Light" w:cs="Calibri Light"/>
          <w:sz w:val="18"/>
          <w:szCs w:val="18"/>
        </w:rPr>
        <w:tab/>
        <w:t>Alšova 1123, 74221 Kopřivnice</w:t>
      </w:r>
    </w:p>
    <w:p w14:paraId="6E522EB6" w14:textId="77777777" w:rsidR="006A7C9D" w:rsidRPr="00AA0E6E" w:rsidRDefault="006A7C9D" w:rsidP="006A7C9D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A0E6E">
        <w:rPr>
          <w:rFonts w:ascii="Calibri Light" w:hAnsi="Calibri Light" w:cs="Calibri Light"/>
          <w:sz w:val="18"/>
          <w:szCs w:val="18"/>
        </w:rPr>
        <w:t xml:space="preserve">zastoupena: </w:t>
      </w:r>
      <w:r w:rsidRPr="00AA0E6E">
        <w:rPr>
          <w:rFonts w:ascii="Calibri Light" w:hAnsi="Calibri Light" w:cs="Calibri Light"/>
          <w:sz w:val="18"/>
          <w:szCs w:val="18"/>
        </w:rPr>
        <w:tab/>
        <w:t>Mgr. Robinem Pospěchem, ředitelem</w:t>
      </w:r>
    </w:p>
    <w:p w14:paraId="61D6FF51" w14:textId="77777777" w:rsidR="006A7C9D" w:rsidRDefault="006A7C9D" w:rsidP="006A7C9D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A0E6E">
        <w:rPr>
          <w:rFonts w:ascii="Calibri Light" w:hAnsi="Calibri Light" w:cs="Calibri Light"/>
          <w:sz w:val="18"/>
          <w:szCs w:val="18"/>
        </w:rPr>
        <w:t>IČO:</w:t>
      </w:r>
      <w:r w:rsidRPr="00AA0E6E">
        <w:rPr>
          <w:rFonts w:ascii="Calibri Light" w:hAnsi="Calibri Light" w:cs="Calibri Light"/>
          <w:sz w:val="18"/>
          <w:szCs w:val="18"/>
        </w:rPr>
        <w:tab/>
      </w:r>
      <w:r w:rsidRPr="00AA0E6E">
        <w:rPr>
          <w:rFonts w:ascii="Calibri Light" w:hAnsi="Calibri Light" w:cs="Calibri Light"/>
          <w:sz w:val="18"/>
          <w:szCs w:val="18"/>
        </w:rPr>
        <w:tab/>
        <w:t>00848310</w:t>
      </w:r>
    </w:p>
    <w:p w14:paraId="49373602" w14:textId="100DA25E" w:rsidR="00DB7D22" w:rsidRPr="003B407E" w:rsidRDefault="00DB7D22" w:rsidP="006A7C9D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2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41293BB5" w14:textId="54E925B8" w:rsidR="001A5ABF" w:rsidRDefault="001A5ABF" w:rsidP="001A5ABF">
      <w:pPr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>
        <w:rPr>
          <w:rFonts w:ascii="Calibri Light" w:hAnsi="Calibri Light" w:cs="Calibri Light"/>
          <w:sz w:val="18"/>
          <w:szCs w:val="18"/>
        </w:rPr>
        <w:t>5</w:t>
      </w:r>
      <w:r w:rsidRPr="003852F8"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65E464D8" w14:textId="77777777" w:rsidR="001A5ABF" w:rsidRPr="003852F8" w:rsidRDefault="001A5ABF" w:rsidP="001A5ABF">
      <w:pPr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67E4BA5D" w:rsidR="00264ED7" w:rsidRPr="006A7C9D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6A7C9D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6A7C9D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6A7C9D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6A7C9D" w:rsidRPr="006A7C9D">
        <w:rPr>
          <w:rFonts w:ascii="Calibri Light" w:hAnsi="Calibri Light" w:cs="Calibri Light"/>
          <w:sz w:val="18"/>
          <w:szCs w:val="18"/>
        </w:rPr>
        <w:t>Základní škola Kopřivnice, Alšova 1123 okres Nový Jičín</w:t>
      </w:r>
      <w:r w:rsidR="006A7C9D" w:rsidRPr="006A7C9D">
        <w:rPr>
          <w:rFonts w:ascii="Calibri Light" w:hAnsi="Calibri Light" w:cs="Calibri Light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42F12008" w14:textId="77777777" w:rsidR="00632581" w:rsidRPr="003B407E" w:rsidRDefault="00632581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3B04173B" w:rsidR="00110927" w:rsidRP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lastRenderedPageBreak/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380C01" w:rsidRPr="00380C01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55765653" w14:textId="0C74B808" w:rsidR="0091412F" w:rsidRPr="003B407E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7F64FC92" w14:textId="0D39569B" w:rsidR="00FA58AA" w:rsidRPr="00FA58AA" w:rsidRDefault="00FA58AA" w:rsidP="006055F9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A58AA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2 zakázky, jejichž předmětem byla dodávka obdobného charakteru předmětu veřejné zakázky (tzn. dodávka AV a/nebo ICT vybavení včetně jejich instalace v místě plnění) v minimálním finančním objemu </w:t>
      </w:r>
      <w:r w:rsidR="006A7C9D">
        <w:rPr>
          <w:rFonts w:ascii="Calibri Light" w:hAnsi="Calibri Light" w:cs="Calibri Light"/>
          <w:sz w:val="18"/>
          <w:szCs w:val="18"/>
          <w:lang w:eastAsia="cs-CZ"/>
        </w:rPr>
        <w:t>700</w:t>
      </w:r>
      <w:r w:rsidRPr="00FA58AA">
        <w:rPr>
          <w:rFonts w:ascii="Calibri Light" w:hAnsi="Calibri Light" w:cs="Calibri Light"/>
          <w:sz w:val="18"/>
          <w:szCs w:val="18"/>
          <w:lang w:eastAsia="cs-CZ"/>
        </w:rPr>
        <w:t xml:space="preserve"> tis. Kč bez DPH za každou takovou referenční zakázku zvlášť.</w:t>
      </w:r>
    </w:p>
    <w:p w14:paraId="1E6145FD" w14:textId="39224767" w:rsidR="007A6231" w:rsidRPr="007A6231" w:rsidRDefault="007A6231" w:rsidP="00FA58AA">
      <w:pPr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Pr="003B407E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53A07D04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FC6079" w:rsidRPr="006A7C9D">
        <w:rPr>
          <w:rFonts w:ascii="Calibri Light" w:hAnsi="Calibri Light" w:cs="Calibri Light"/>
          <w:sz w:val="18"/>
          <w:szCs w:val="18"/>
        </w:rPr>
        <w:t>Základní škola Kopřivnice, Alšova 1123 okres Nový Jičín.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představující alespoň 25 % účasti společníka v obchodní společnosti, se nesmí účastnit zadávacích řízení podle zákona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lastRenderedPageBreak/>
        <w:t>upravujícího zadávání veřejných zakázek jako účastník nebo poddodavatel, prostřednictvím kterého dodavatel prokazuje kvalifikaci.</w:t>
      </w:r>
    </w:p>
    <w:p w14:paraId="0AEEC4C1" w14:textId="5D91C4CE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FC6079" w:rsidRPr="00FC6079">
        <w:rPr>
          <w:rFonts w:ascii="Calibri Light" w:hAnsi="Calibri Light" w:cs="Calibri Light"/>
          <w:color w:val="333333"/>
          <w:sz w:val="18"/>
          <w:szCs w:val="18"/>
          <w:lang w:eastAsia="cs-CZ"/>
        </w:rPr>
        <w:t>Základní škola Kopřivnice, Alšova 1123 okres Nový Jičín.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7C671F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EAE31" w14:textId="77777777" w:rsidR="007C671F" w:rsidRDefault="007C671F" w:rsidP="00C726BB">
      <w:r>
        <w:separator/>
      </w:r>
    </w:p>
  </w:endnote>
  <w:endnote w:type="continuationSeparator" w:id="0">
    <w:p w14:paraId="7680BA85" w14:textId="77777777" w:rsidR="007C671F" w:rsidRDefault="007C671F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FEE98" w14:textId="77777777" w:rsidR="007C671F" w:rsidRDefault="007C671F" w:rsidP="00C726BB">
      <w:r>
        <w:separator/>
      </w:r>
    </w:p>
  </w:footnote>
  <w:footnote w:type="continuationSeparator" w:id="0">
    <w:p w14:paraId="54E5E777" w14:textId="77777777" w:rsidR="007C671F" w:rsidRDefault="007C671F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6D7D"/>
    <w:rsid w:val="00081B00"/>
    <w:rsid w:val="0008288C"/>
    <w:rsid w:val="00086328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A5ABF"/>
    <w:rsid w:val="00206220"/>
    <w:rsid w:val="0021037E"/>
    <w:rsid w:val="00231D0E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7E5E"/>
    <w:rsid w:val="003A15C2"/>
    <w:rsid w:val="003A3F48"/>
    <w:rsid w:val="003B387C"/>
    <w:rsid w:val="003B407E"/>
    <w:rsid w:val="003C720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9716A"/>
    <w:rsid w:val="005A4BC6"/>
    <w:rsid w:val="005A7870"/>
    <w:rsid w:val="005E6E15"/>
    <w:rsid w:val="005F6A94"/>
    <w:rsid w:val="006055F9"/>
    <w:rsid w:val="00607682"/>
    <w:rsid w:val="006222B5"/>
    <w:rsid w:val="00632581"/>
    <w:rsid w:val="00635287"/>
    <w:rsid w:val="00642E81"/>
    <w:rsid w:val="00642E93"/>
    <w:rsid w:val="00644FF0"/>
    <w:rsid w:val="00655AAB"/>
    <w:rsid w:val="00656F2F"/>
    <w:rsid w:val="006A7C9D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C671F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306CE"/>
    <w:rsid w:val="00A64F93"/>
    <w:rsid w:val="00A807F9"/>
    <w:rsid w:val="00A80DA0"/>
    <w:rsid w:val="00A81409"/>
    <w:rsid w:val="00AA0E6E"/>
    <w:rsid w:val="00AA479E"/>
    <w:rsid w:val="00AC1D76"/>
    <w:rsid w:val="00AD4277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2A70"/>
    <w:rsid w:val="00CC679F"/>
    <w:rsid w:val="00CD52C3"/>
    <w:rsid w:val="00CE6B01"/>
    <w:rsid w:val="00CE7219"/>
    <w:rsid w:val="00CF59FF"/>
    <w:rsid w:val="00D04CFA"/>
    <w:rsid w:val="00D0750D"/>
    <w:rsid w:val="00D704C4"/>
    <w:rsid w:val="00D74D3D"/>
    <w:rsid w:val="00DA0EE4"/>
    <w:rsid w:val="00DB0E86"/>
    <w:rsid w:val="00DB1627"/>
    <w:rsid w:val="00DB33C4"/>
    <w:rsid w:val="00DB7D22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A58AA"/>
    <w:rsid w:val="00FC0288"/>
    <w:rsid w:val="00FC6079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2156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11</cp:revision>
  <cp:lastPrinted>2021-03-16T08:15:00Z</cp:lastPrinted>
  <dcterms:created xsi:type="dcterms:W3CDTF">2023-12-06T19:10:00Z</dcterms:created>
  <dcterms:modified xsi:type="dcterms:W3CDTF">2024-01-25T20:27:00Z</dcterms:modified>
</cp:coreProperties>
</file>