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14" w:rsidRPr="00B07EF7" w:rsidRDefault="002E7314" w:rsidP="00A6756C">
      <w:pPr>
        <w:jc w:val="center"/>
        <w:outlineLvl w:val="0"/>
        <w:rPr>
          <w:b/>
          <w:bCs/>
          <w:sz w:val="32"/>
          <w:szCs w:val="32"/>
        </w:rPr>
      </w:pPr>
      <w:r w:rsidRPr="00B07EF7">
        <w:rPr>
          <w:b/>
          <w:bCs/>
          <w:sz w:val="32"/>
          <w:szCs w:val="32"/>
        </w:rPr>
        <w:t>Příkazní smlouva</w:t>
      </w:r>
    </w:p>
    <w:p w:rsidR="002E7314" w:rsidRDefault="002E7314" w:rsidP="00B07EF7">
      <w:pPr>
        <w:jc w:val="center"/>
      </w:pPr>
      <w:r>
        <w:t>uzavřená podle § 2430 a násl. zákona č. 89/2012 Sb., občanský zákoník, ve znění pozdějších předpisů mezi těmito smluvními stranami</w:t>
      </w:r>
    </w:p>
    <w:p w:rsidR="002E7314" w:rsidRDefault="002E7314" w:rsidP="00407B41">
      <w:pPr>
        <w:jc w:val="both"/>
      </w:pPr>
    </w:p>
    <w:p w:rsidR="002E7314" w:rsidRPr="00407B41" w:rsidRDefault="002E7314" w:rsidP="00A6756C">
      <w:pPr>
        <w:spacing w:after="0"/>
        <w:jc w:val="both"/>
        <w:outlineLvl w:val="0"/>
        <w:rPr>
          <w:b/>
          <w:bCs/>
        </w:rPr>
      </w:pPr>
      <w:r w:rsidRPr="00407B41">
        <w:rPr>
          <w:b/>
          <w:bCs/>
        </w:rPr>
        <w:t>Příkazce:</w:t>
      </w:r>
    </w:p>
    <w:p w:rsidR="002E7314" w:rsidRDefault="002E7314" w:rsidP="00407B41">
      <w:pPr>
        <w:spacing w:after="0"/>
        <w:jc w:val="both"/>
      </w:pPr>
      <w:r>
        <w:t>město Kopřivnice</w:t>
      </w:r>
    </w:p>
    <w:p w:rsidR="002E7314" w:rsidRDefault="002E7314" w:rsidP="00407B41">
      <w:pPr>
        <w:spacing w:after="0"/>
        <w:jc w:val="both"/>
      </w:pPr>
      <w:r>
        <w:t>IČ 00298077</w:t>
      </w:r>
    </w:p>
    <w:p w:rsidR="002E7314" w:rsidRDefault="002E7314" w:rsidP="00407B41">
      <w:pPr>
        <w:spacing w:after="0"/>
        <w:jc w:val="both"/>
      </w:pPr>
      <w:r>
        <w:t>sídlem Štefánikova 1163/12, 742 21 Kopřivnice</w:t>
      </w:r>
    </w:p>
    <w:p w:rsidR="002E7314" w:rsidRDefault="002E7314" w:rsidP="00407B41">
      <w:pPr>
        <w:spacing w:after="0"/>
        <w:jc w:val="both"/>
      </w:pPr>
      <w:r>
        <w:t>zastoupeno Mgr. Jiřím Štěpánem, vedoucím odboru rozvoje města</w:t>
      </w:r>
    </w:p>
    <w:p w:rsidR="002E7314" w:rsidRDefault="002E7314" w:rsidP="00407B41">
      <w:pPr>
        <w:spacing w:after="0"/>
        <w:jc w:val="both"/>
      </w:pPr>
      <w:r>
        <w:t xml:space="preserve">kontaktní e-mail: </w:t>
      </w:r>
      <w:hyperlink r:id="rId7" w:history="1">
        <w:r w:rsidRPr="00B372C0">
          <w:rPr>
            <w:rStyle w:val="Hyperlink"/>
          </w:rPr>
          <w:t>jiri.stepan@koprivnice.cz</w:t>
        </w:r>
      </w:hyperlink>
    </w:p>
    <w:p w:rsidR="002E7314" w:rsidRDefault="002E7314" w:rsidP="00407B41">
      <w:pPr>
        <w:spacing w:after="0"/>
        <w:jc w:val="both"/>
      </w:pPr>
      <w:r>
        <w:t>kontaktní tel.: 556 879 650</w:t>
      </w:r>
    </w:p>
    <w:p w:rsidR="002E7314" w:rsidRDefault="002E7314" w:rsidP="00407B41">
      <w:pPr>
        <w:spacing w:after="0"/>
      </w:pPr>
      <w:r>
        <w:t>(dále jen „Příkazce“)</w:t>
      </w:r>
    </w:p>
    <w:p w:rsidR="002E7314" w:rsidRDefault="002E7314" w:rsidP="00407B41">
      <w:pPr>
        <w:spacing w:after="0"/>
      </w:pPr>
    </w:p>
    <w:p w:rsidR="002E7314" w:rsidRDefault="002E7314" w:rsidP="00407B41">
      <w:pPr>
        <w:spacing w:after="0"/>
      </w:pPr>
    </w:p>
    <w:p w:rsidR="002E7314" w:rsidRDefault="002E7314" w:rsidP="00407B41">
      <w:pPr>
        <w:spacing w:after="0"/>
      </w:pPr>
    </w:p>
    <w:p w:rsidR="002E7314" w:rsidRPr="00622594" w:rsidRDefault="002E7314" w:rsidP="00A6756C">
      <w:pPr>
        <w:spacing w:after="0"/>
        <w:outlineLvl w:val="0"/>
        <w:rPr>
          <w:b/>
          <w:bCs/>
        </w:rPr>
      </w:pPr>
      <w:r w:rsidRPr="00622594">
        <w:rPr>
          <w:b/>
          <w:bCs/>
        </w:rPr>
        <w:t>Příkazník:</w:t>
      </w:r>
    </w:p>
    <w:p w:rsidR="002E7314" w:rsidRDefault="002E7314" w:rsidP="00407B41">
      <w:pPr>
        <w:spacing w:after="0"/>
      </w:pPr>
      <w:r>
        <w:t>................................................</w:t>
      </w:r>
    </w:p>
    <w:p w:rsidR="002E7314" w:rsidRDefault="002E7314" w:rsidP="00A6756C">
      <w:pPr>
        <w:spacing w:after="0"/>
        <w:outlineLvl w:val="0"/>
      </w:pPr>
      <w:r>
        <w:t>IČ .............................................</w:t>
      </w:r>
    </w:p>
    <w:p w:rsidR="002E7314" w:rsidRDefault="002E7314" w:rsidP="00407B41">
      <w:pPr>
        <w:spacing w:after="0"/>
      </w:pPr>
      <w:r>
        <w:t>sídlem .....................................</w:t>
      </w:r>
    </w:p>
    <w:p w:rsidR="002E7314" w:rsidRDefault="002E7314" w:rsidP="00407B41">
      <w:pPr>
        <w:spacing w:after="0"/>
      </w:pPr>
      <w:r>
        <w:t>zastoupen ................................</w:t>
      </w:r>
    </w:p>
    <w:p w:rsidR="002E7314" w:rsidRDefault="002E7314" w:rsidP="00407B41">
      <w:pPr>
        <w:spacing w:after="0"/>
      </w:pPr>
      <w:r>
        <w:t>bankovní spojení .......................</w:t>
      </w:r>
    </w:p>
    <w:p w:rsidR="002E7314" w:rsidRDefault="002E7314" w:rsidP="00407B41">
      <w:pPr>
        <w:spacing w:after="0"/>
      </w:pPr>
      <w:r>
        <w:t>zapsán v ..................................................................</w:t>
      </w:r>
    </w:p>
    <w:p w:rsidR="002E7314" w:rsidRDefault="002E7314" w:rsidP="00395AFE">
      <w:pPr>
        <w:spacing w:after="0"/>
        <w:jc w:val="both"/>
      </w:pPr>
      <w:r>
        <w:t>kontaktní e-mail:</w:t>
      </w:r>
    </w:p>
    <w:p w:rsidR="002E7314" w:rsidRDefault="002E7314" w:rsidP="00395AFE">
      <w:pPr>
        <w:spacing w:after="0"/>
        <w:jc w:val="both"/>
      </w:pPr>
      <w:r>
        <w:t>kontaktní tel.:</w:t>
      </w:r>
    </w:p>
    <w:p w:rsidR="002E7314" w:rsidRDefault="002E7314" w:rsidP="00407B41">
      <w:pPr>
        <w:spacing w:after="0"/>
      </w:pPr>
    </w:p>
    <w:p w:rsidR="002E7314" w:rsidRDefault="002E7314" w:rsidP="00407B41">
      <w:pPr>
        <w:spacing w:after="0"/>
      </w:pPr>
      <w:r>
        <w:t>(dále jen „Příkazník“)</w:t>
      </w:r>
    </w:p>
    <w:p w:rsidR="002E7314" w:rsidRDefault="002E7314" w:rsidP="00407B41">
      <w:pPr>
        <w:spacing w:after="0"/>
      </w:pPr>
    </w:p>
    <w:p w:rsidR="002E7314" w:rsidRDefault="002E7314" w:rsidP="00407B41">
      <w:pPr>
        <w:spacing w:after="0"/>
      </w:pPr>
    </w:p>
    <w:p w:rsidR="002E7314" w:rsidRDefault="002E7314" w:rsidP="00407B41">
      <w:pPr>
        <w:spacing w:after="0"/>
      </w:pPr>
    </w:p>
    <w:p w:rsidR="002E7314" w:rsidRPr="00273EAC" w:rsidRDefault="002E7314" w:rsidP="00A6756C">
      <w:pPr>
        <w:spacing w:after="0"/>
        <w:jc w:val="center"/>
        <w:outlineLvl w:val="0"/>
        <w:rPr>
          <w:b/>
          <w:bCs/>
        </w:rPr>
      </w:pPr>
      <w:r w:rsidRPr="00273EAC">
        <w:rPr>
          <w:b/>
          <w:bCs/>
        </w:rPr>
        <w:t>I.</w:t>
      </w:r>
    </w:p>
    <w:p w:rsidR="002E7314" w:rsidRPr="00273EAC" w:rsidRDefault="002E7314" w:rsidP="00B02D45">
      <w:pPr>
        <w:spacing w:after="0"/>
        <w:jc w:val="center"/>
        <w:rPr>
          <w:b/>
          <w:bCs/>
        </w:rPr>
      </w:pPr>
      <w:r w:rsidRPr="00273EAC">
        <w:rPr>
          <w:b/>
          <w:bCs/>
        </w:rPr>
        <w:t>Úvodní ustanovení</w:t>
      </w:r>
    </w:p>
    <w:p w:rsidR="002E7314" w:rsidRDefault="002E7314" w:rsidP="00B02D45">
      <w:pPr>
        <w:spacing w:after="0"/>
        <w:jc w:val="center"/>
      </w:pPr>
    </w:p>
    <w:p w:rsidR="002E7314" w:rsidRDefault="002E7314" w:rsidP="00A4354B">
      <w:pPr>
        <w:spacing w:after="0"/>
        <w:jc w:val="both"/>
      </w:pPr>
      <w:r>
        <w:t>Příkazce je realizátorem projektu „</w:t>
      </w:r>
      <w:r w:rsidRPr="00750303">
        <w:t>Odkanalizování místních částí Vlčovice a Mniší</w:t>
      </w:r>
      <w:r>
        <w:t xml:space="preserve">“, reg. číslo </w:t>
      </w:r>
      <w:r w:rsidRPr="005E6E54">
        <w:t>CZ.05.1.30/0.0/0.0/17_071/0006976</w:t>
      </w:r>
      <w:r>
        <w:t xml:space="preserve"> financovaného z Operačního programu Životní prostředí 2014-2020 (dále jen „projekt“). V rámci tohoto projektu bude příkazce provádět  dvě zadávací řízení, a to na výběr Technického dozoru investora a BOZP a dále na výběr zhotovitele stavby Odkanalizování místních částí Vlčovice a Mniší realizované dle projektové dokumentace zpracované firmou Koneko, spol. s r.o. </w:t>
      </w:r>
    </w:p>
    <w:p w:rsidR="002E7314" w:rsidRDefault="002E7314" w:rsidP="00A4354B">
      <w:pPr>
        <w:spacing w:after="0"/>
        <w:jc w:val="both"/>
      </w:pPr>
    </w:p>
    <w:p w:rsidR="002E7314" w:rsidRPr="00273EAC" w:rsidRDefault="002E7314" w:rsidP="00A6756C">
      <w:pPr>
        <w:spacing w:after="0"/>
        <w:jc w:val="center"/>
        <w:outlineLvl w:val="0"/>
        <w:rPr>
          <w:b/>
          <w:bCs/>
        </w:rPr>
      </w:pPr>
      <w:r w:rsidRPr="00273EAC">
        <w:rPr>
          <w:b/>
          <w:bCs/>
        </w:rPr>
        <w:t>II.</w:t>
      </w:r>
    </w:p>
    <w:p w:rsidR="002E7314" w:rsidRPr="00273EAC" w:rsidRDefault="002E7314" w:rsidP="00A4354B">
      <w:pPr>
        <w:spacing w:after="0"/>
        <w:jc w:val="center"/>
        <w:rPr>
          <w:b/>
          <w:bCs/>
        </w:rPr>
      </w:pPr>
      <w:r w:rsidRPr="00273EAC">
        <w:rPr>
          <w:b/>
          <w:bCs/>
        </w:rPr>
        <w:t>Předmět smlouvy</w:t>
      </w:r>
    </w:p>
    <w:p w:rsidR="002E7314" w:rsidRDefault="002E7314" w:rsidP="00A4354B">
      <w:pPr>
        <w:spacing w:after="0"/>
        <w:jc w:val="center"/>
      </w:pPr>
    </w:p>
    <w:p w:rsidR="002E7314" w:rsidRDefault="002E7314" w:rsidP="00872B4B">
      <w:pPr>
        <w:pStyle w:val="ListParagraph"/>
        <w:numPr>
          <w:ilvl w:val="0"/>
          <w:numId w:val="2"/>
        </w:numPr>
        <w:spacing w:after="0"/>
        <w:jc w:val="both"/>
      </w:pPr>
      <w:r>
        <w:t>Příkazník se zavazuje pro příkazce zajistit zpracování zadávacích podmínek a administraci zadávacích řízení v rozsahu a za podmínek dle této smlouvy, a to k těmto veřejným zakázkám:</w:t>
      </w:r>
    </w:p>
    <w:p w:rsidR="002E7314" w:rsidRDefault="002E7314" w:rsidP="00A4354B">
      <w:pPr>
        <w:spacing w:after="0"/>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2160"/>
        <w:gridCol w:w="2340"/>
        <w:gridCol w:w="2160"/>
      </w:tblGrid>
      <w:tr w:rsidR="002E7314" w:rsidRPr="002C2ED7" w:rsidTr="00197CAF">
        <w:tc>
          <w:tcPr>
            <w:tcW w:w="2628" w:type="dxa"/>
          </w:tcPr>
          <w:p w:rsidR="002E7314" w:rsidRPr="002C2ED7" w:rsidRDefault="002E7314" w:rsidP="002C2ED7">
            <w:pPr>
              <w:spacing w:after="0" w:line="240" w:lineRule="auto"/>
              <w:jc w:val="both"/>
            </w:pPr>
            <w:r w:rsidRPr="002C2ED7">
              <w:t>Název veřejné zakázky</w:t>
            </w:r>
          </w:p>
        </w:tc>
        <w:tc>
          <w:tcPr>
            <w:tcW w:w="2160" w:type="dxa"/>
          </w:tcPr>
          <w:p w:rsidR="002E7314" w:rsidRPr="002C2ED7" w:rsidRDefault="002E7314" w:rsidP="002C2ED7">
            <w:pPr>
              <w:spacing w:after="0" w:line="240" w:lineRule="auto"/>
              <w:jc w:val="both"/>
            </w:pPr>
            <w:r w:rsidRPr="002C2ED7">
              <w:t>Druh veřejné zakázky</w:t>
            </w:r>
          </w:p>
        </w:tc>
        <w:tc>
          <w:tcPr>
            <w:tcW w:w="2340" w:type="dxa"/>
          </w:tcPr>
          <w:p w:rsidR="002E7314" w:rsidRPr="002C2ED7" w:rsidRDefault="002E7314" w:rsidP="002C2ED7">
            <w:pPr>
              <w:spacing w:after="0" w:line="240" w:lineRule="auto"/>
              <w:jc w:val="both"/>
            </w:pPr>
            <w:r w:rsidRPr="002C2ED7">
              <w:t>Režim veřejné zakázky</w:t>
            </w:r>
          </w:p>
        </w:tc>
        <w:tc>
          <w:tcPr>
            <w:tcW w:w="2160" w:type="dxa"/>
          </w:tcPr>
          <w:p w:rsidR="002E7314" w:rsidRPr="002C2ED7" w:rsidRDefault="002E7314" w:rsidP="002C2ED7">
            <w:pPr>
              <w:spacing w:after="0" w:line="240" w:lineRule="auto"/>
              <w:jc w:val="both"/>
            </w:pPr>
            <w:r w:rsidRPr="002C2ED7">
              <w:t>Předpokládaná hodnota</w:t>
            </w:r>
            <w:r>
              <w:t xml:space="preserve"> bez DPH</w:t>
            </w:r>
          </w:p>
        </w:tc>
      </w:tr>
      <w:tr w:rsidR="002E7314" w:rsidRPr="002C2ED7" w:rsidTr="00197CAF">
        <w:tc>
          <w:tcPr>
            <w:tcW w:w="2628" w:type="dxa"/>
          </w:tcPr>
          <w:p w:rsidR="002E7314" w:rsidRPr="00750303" w:rsidRDefault="002E7314" w:rsidP="00197CAF">
            <w:pPr>
              <w:spacing w:after="0" w:line="240" w:lineRule="auto"/>
              <w:rPr>
                <w:b/>
                <w:bCs/>
              </w:rPr>
            </w:pPr>
            <w:r w:rsidRPr="00750303">
              <w:rPr>
                <w:b/>
                <w:bCs/>
              </w:rPr>
              <w:t xml:space="preserve">Odkanalizování místních částí Vlčovice </w:t>
            </w:r>
            <w:r>
              <w:rPr>
                <w:b/>
                <w:bCs/>
              </w:rPr>
              <w:t xml:space="preserve">a </w:t>
            </w:r>
            <w:r w:rsidRPr="00750303">
              <w:rPr>
                <w:b/>
                <w:bCs/>
              </w:rPr>
              <w:t>Mniší – technický dozor investora, BOZP</w:t>
            </w:r>
          </w:p>
        </w:tc>
        <w:tc>
          <w:tcPr>
            <w:tcW w:w="2160" w:type="dxa"/>
          </w:tcPr>
          <w:p w:rsidR="002E7314" w:rsidRPr="002C2ED7" w:rsidRDefault="002E7314" w:rsidP="002C2ED7">
            <w:pPr>
              <w:spacing w:after="0" w:line="240" w:lineRule="auto"/>
              <w:jc w:val="both"/>
            </w:pPr>
            <w:r>
              <w:t>služby</w:t>
            </w:r>
          </w:p>
        </w:tc>
        <w:tc>
          <w:tcPr>
            <w:tcW w:w="2340" w:type="dxa"/>
          </w:tcPr>
          <w:p w:rsidR="002E7314" w:rsidRPr="002C2ED7" w:rsidRDefault="002E7314" w:rsidP="002C2ED7">
            <w:pPr>
              <w:spacing w:after="0" w:line="240" w:lineRule="auto"/>
              <w:jc w:val="both"/>
            </w:pPr>
            <w:r>
              <w:t>nadlimitní</w:t>
            </w:r>
          </w:p>
        </w:tc>
        <w:tc>
          <w:tcPr>
            <w:tcW w:w="2160" w:type="dxa"/>
          </w:tcPr>
          <w:p w:rsidR="002E7314" w:rsidRPr="002C2ED7" w:rsidRDefault="002E7314" w:rsidP="002C2ED7">
            <w:pPr>
              <w:spacing w:after="0" w:line="240" w:lineRule="auto"/>
              <w:jc w:val="both"/>
            </w:pPr>
            <w:r>
              <w:t xml:space="preserve">7.500.000 Kč </w:t>
            </w:r>
          </w:p>
        </w:tc>
      </w:tr>
      <w:tr w:rsidR="002E7314" w:rsidRPr="002C2ED7" w:rsidTr="00197CAF">
        <w:tc>
          <w:tcPr>
            <w:tcW w:w="2628" w:type="dxa"/>
          </w:tcPr>
          <w:p w:rsidR="002E7314" w:rsidRPr="00750303" w:rsidRDefault="002E7314" w:rsidP="00197CAF">
            <w:pPr>
              <w:spacing w:after="0" w:line="240" w:lineRule="auto"/>
              <w:rPr>
                <w:b/>
                <w:bCs/>
              </w:rPr>
            </w:pPr>
            <w:r w:rsidRPr="00750303">
              <w:rPr>
                <w:b/>
                <w:bCs/>
              </w:rPr>
              <w:t>Odkanalizování m</w:t>
            </w:r>
            <w:r>
              <w:rPr>
                <w:b/>
                <w:bCs/>
              </w:rPr>
              <w:t xml:space="preserve">ístních částí Vlčovice a Mniší - </w:t>
            </w:r>
            <w:r w:rsidRPr="00750303">
              <w:rPr>
                <w:b/>
                <w:bCs/>
              </w:rPr>
              <w:t>stavba</w:t>
            </w:r>
          </w:p>
        </w:tc>
        <w:tc>
          <w:tcPr>
            <w:tcW w:w="2160" w:type="dxa"/>
          </w:tcPr>
          <w:p w:rsidR="002E7314" w:rsidRPr="002C2ED7" w:rsidRDefault="002E7314" w:rsidP="002C2ED7">
            <w:pPr>
              <w:spacing w:after="0" w:line="240" w:lineRule="auto"/>
              <w:jc w:val="both"/>
            </w:pPr>
            <w:r>
              <w:t>stavební práce</w:t>
            </w:r>
          </w:p>
        </w:tc>
        <w:tc>
          <w:tcPr>
            <w:tcW w:w="2340" w:type="dxa"/>
          </w:tcPr>
          <w:p w:rsidR="002E7314" w:rsidRPr="002C2ED7" w:rsidRDefault="002E7314" w:rsidP="002C2ED7">
            <w:pPr>
              <w:spacing w:after="0" w:line="240" w:lineRule="auto"/>
              <w:jc w:val="both"/>
            </w:pPr>
            <w:r>
              <w:t>nadlimitní</w:t>
            </w:r>
          </w:p>
        </w:tc>
        <w:tc>
          <w:tcPr>
            <w:tcW w:w="2160" w:type="dxa"/>
          </w:tcPr>
          <w:p w:rsidR="002E7314" w:rsidRPr="002C2ED7" w:rsidRDefault="002E7314" w:rsidP="00E478A6">
            <w:pPr>
              <w:spacing w:after="0" w:line="240" w:lineRule="auto"/>
              <w:jc w:val="both"/>
            </w:pPr>
            <w:r>
              <w:t>142.000.000 Kč</w:t>
            </w:r>
          </w:p>
        </w:tc>
      </w:tr>
    </w:tbl>
    <w:p w:rsidR="002E7314" w:rsidRDefault="002E7314" w:rsidP="00A4354B">
      <w:pPr>
        <w:spacing w:after="0"/>
        <w:jc w:val="both"/>
      </w:pPr>
      <w:r>
        <w:t>(dále také jen „příkaz“)</w:t>
      </w:r>
    </w:p>
    <w:p w:rsidR="002E7314" w:rsidRDefault="002E7314" w:rsidP="00A4354B">
      <w:pPr>
        <w:spacing w:after="0"/>
        <w:jc w:val="both"/>
      </w:pPr>
    </w:p>
    <w:p w:rsidR="002E7314" w:rsidRDefault="002E7314" w:rsidP="00872B4B">
      <w:pPr>
        <w:pStyle w:val="ListParagraph"/>
        <w:numPr>
          <w:ilvl w:val="0"/>
          <w:numId w:val="2"/>
        </w:numPr>
        <w:spacing w:after="0"/>
        <w:jc w:val="both"/>
      </w:pPr>
      <w:r>
        <w:t>Administrací veřejné zakázky se rozumí provádění všech úkonů podle zákona č. 134/2016 Sb., o zadávání veřejných zakázek ve znění pozdějších předpisů (dále jen „zákon“) souvisejících se zadávacím řízení, mimo úkonů uvedených v § 43 odst. 2 zákona. Administraci je nutno zajistit v souladu s metodickými pokyny Operačního programu Životní prostředí 2014-2020.</w:t>
      </w:r>
    </w:p>
    <w:p w:rsidR="002E7314" w:rsidRDefault="002E7314" w:rsidP="005D7EF0">
      <w:pPr>
        <w:pStyle w:val="ListParagraph"/>
        <w:spacing w:after="0"/>
        <w:jc w:val="both"/>
      </w:pPr>
    </w:p>
    <w:p w:rsidR="002E7314" w:rsidRDefault="002E7314" w:rsidP="005D7EF0">
      <w:pPr>
        <w:pStyle w:val="ListParagraph"/>
        <w:numPr>
          <w:ilvl w:val="0"/>
          <w:numId w:val="2"/>
        </w:numPr>
        <w:spacing w:after="0"/>
        <w:jc w:val="both"/>
      </w:pPr>
      <w:r>
        <w:t>Příkazník se zavazuje vykonat v rámci příkazu  veškeré činnosti</w:t>
      </w:r>
      <w:r w:rsidRPr="00395AFE">
        <w:t xml:space="preserve"> </w:t>
      </w:r>
      <w:r>
        <w:t>směřující k řádné administraci zadávacího řízení zejména:</w:t>
      </w:r>
    </w:p>
    <w:p w:rsidR="002E7314" w:rsidRDefault="002E7314" w:rsidP="00197CAF">
      <w:pPr>
        <w:pStyle w:val="ListParagraph"/>
        <w:spacing w:after="0"/>
        <w:ind w:left="0"/>
        <w:jc w:val="both"/>
      </w:pPr>
    </w:p>
    <w:p w:rsidR="002E7314" w:rsidRPr="00AC6295" w:rsidRDefault="002E7314" w:rsidP="00787850">
      <w:pPr>
        <w:pStyle w:val="ListParagraph"/>
        <w:numPr>
          <w:ilvl w:val="0"/>
          <w:numId w:val="3"/>
        </w:numPr>
        <w:spacing w:after="0"/>
        <w:jc w:val="both"/>
        <w:rPr>
          <w:b/>
          <w:bCs/>
        </w:rPr>
      </w:pPr>
      <w:r w:rsidRPr="00AC6295">
        <w:rPr>
          <w:b/>
          <w:bCs/>
        </w:rPr>
        <w:t>V rámci přípravy zadávacího řízení:</w:t>
      </w:r>
    </w:p>
    <w:p w:rsidR="002E7314" w:rsidRDefault="002E7314" w:rsidP="00F3275A">
      <w:pPr>
        <w:pStyle w:val="ListParagraph"/>
        <w:numPr>
          <w:ilvl w:val="1"/>
          <w:numId w:val="3"/>
        </w:numPr>
        <w:spacing w:after="0"/>
        <w:jc w:val="both"/>
      </w:pPr>
      <w:r>
        <w:t>projednání veřejné zakázky s příkazníkem</w:t>
      </w:r>
    </w:p>
    <w:p w:rsidR="002E7314" w:rsidRDefault="002E7314" w:rsidP="00F3275A">
      <w:pPr>
        <w:pStyle w:val="ListParagraph"/>
        <w:numPr>
          <w:ilvl w:val="1"/>
          <w:numId w:val="3"/>
        </w:numPr>
        <w:spacing w:after="0"/>
        <w:jc w:val="both"/>
      </w:pPr>
      <w:r>
        <w:t>doporučení vhodného druhu zadávacího řízení</w:t>
      </w:r>
    </w:p>
    <w:p w:rsidR="002E7314" w:rsidRDefault="002E7314" w:rsidP="00F3275A">
      <w:pPr>
        <w:pStyle w:val="ListParagraph"/>
        <w:numPr>
          <w:ilvl w:val="1"/>
          <w:numId w:val="3"/>
        </w:numPr>
        <w:spacing w:after="0"/>
        <w:jc w:val="both"/>
      </w:pPr>
      <w:r>
        <w:t>z</w:t>
      </w:r>
      <w:r w:rsidRPr="00787850">
        <w:t xml:space="preserve">pracování harmonogramu realizace zadávacího řízení veřejné zakázky </w:t>
      </w:r>
    </w:p>
    <w:p w:rsidR="002E7314" w:rsidRDefault="002E7314" w:rsidP="00F3275A">
      <w:pPr>
        <w:pStyle w:val="ListParagraph"/>
        <w:numPr>
          <w:ilvl w:val="1"/>
          <w:numId w:val="3"/>
        </w:numPr>
        <w:spacing w:after="0"/>
        <w:jc w:val="both"/>
      </w:pPr>
      <w:r w:rsidRPr="0040367F">
        <w:t xml:space="preserve">příprava zadávacích podmínek (mimo jejich  technických částí) -  </w:t>
      </w:r>
      <w:r>
        <w:t>návrh zadávací dokumentace,</w:t>
      </w:r>
      <w:r w:rsidRPr="0040367F">
        <w:t xml:space="preserve"> doporučení kvalifikačních a hodnotících krit</w:t>
      </w:r>
      <w:r>
        <w:t xml:space="preserve">érií, návrh, </w:t>
      </w:r>
      <w:r w:rsidRPr="0040367F">
        <w:t xml:space="preserve">zpracování návrhu </w:t>
      </w:r>
      <w:r>
        <w:t>příslušných smluv</w:t>
      </w:r>
      <w:r w:rsidRPr="0040367F">
        <w:t>, kompletace příloh, formulářů a dalších částí zadávací dokumentace</w:t>
      </w:r>
      <w:r>
        <w:t>.</w:t>
      </w:r>
    </w:p>
    <w:p w:rsidR="002E7314" w:rsidRDefault="002E7314" w:rsidP="00F3275A">
      <w:pPr>
        <w:pStyle w:val="ListParagraph"/>
        <w:numPr>
          <w:ilvl w:val="1"/>
          <w:numId w:val="3"/>
        </w:numPr>
        <w:spacing w:after="0"/>
        <w:jc w:val="both"/>
      </w:pPr>
      <w:r>
        <w:t>vypořádání případných připomínek poskytovatele dotace k zadávacím podmínkám</w:t>
      </w:r>
    </w:p>
    <w:p w:rsidR="002E7314" w:rsidRDefault="002E7314" w:rsidP="0040367F">
      <w:pPr>
        <w:spacing w:after="0"/>
        <w:ind w:left="708"/>
      </w:pPr>
    </w:p>
    <w:p w:rsidR="002E7314" w:rsidRDefault="002E7314" w:rsidP="00AC6295">
      <w:pPr>
        <w:pStyle w:val="ListParagraph"/>
        <w:numPr>
          <w:ilvl w:val="0"/>
          <w:numId w:val="3"/>
        </w:numPr>
        <w:spacing w:after="0"/>
        <w:rPr>
          <w:b/>
          <w:bCs/>
        </w:rPr>
      </w:pPr>
      <w:r w:rsidRPr="00AC6295">
        <w:rPr>
          <w:b/>
          <w:bCs/>
        </w:rPr>
        <w:t xml:space="preserve">V rámci realizace zadávacího řízení </w:t>
      </w:r>
    </w:p>
    <w:p w:rsidR="002E7314" w:rsidRPr="00AC6295" w:rsidRDefault="002E7314" w:rsidP="00F3275A">
      <w:pPr>
        <w:pStyle w:val="ListParagraph"/>
        <w:numPr>
          <w:ilvl w:val="1"/>
          <w:numId w:val="3"/>
        </w:numPr>
        <w:spacing w:after="0"/>
        <w:jc w:val="both"/>
        <w:rPr>
          <w:b/>
          <w:bCs/>
        </w:rPr>
      </w:pPr>
      <w:r>
        <w:t>zpracování a uveřejňování příslušných formulářů ve Věstníku veřejných zakázek</w:t>
      </w:r>
    </w:p>
    <w:p w:rsidR="002E7314" w:rsidRDefault="002E7314" w:rsidP="00F3275A">
      <w:pPr>
        <w:pStyle w:val="ListParagraph"/>
        <w:numPr>
          <w:ilvl w:val="1"/>
          <w:numId w:val="3"/>
        </w:numPr>
        <w:spacing w:after="0"/>
        <w:jc w:val="both"/>
      </w:pPr>
      <w:r>
        <w:t>administrace zadávacího řízení v systému E-ZAK (za tímto účelem budou příkazcem příkazníkovi zřízena příslušná oprávnění), a to včetně komunikace s účastníky zadávacího řízení a doručování písemností. Systém E-ZAK slouží i jako profil zadavatele</w:t>
      </w:r>
    </w:p>
    <w:p w:rsidR="002E7314" w:rsidRDefault="002E7314" w:rsidP="00F3275A">
      <w:pPr>
        <w:pStyle w:val="ListParagraph"/>
        <w:numPr>
          <w:ilvl w:val="1"/>
          <w:numId w:val="3"/>
        </w:numPr>
        <w:spacing w:after="0"/>
        <w:jc w:val="both"/>
      </w:pPr>
      <w:r>
        <w:t>splnění zákonných požadavků týkajících se uveřejňování na profilu zadavatele</w:t>
      </w:r>
    </w:p>
    <w:p w:rsidR="002E7314" w:rsidRPr="00AC6295" w:rsidRDefault="002E7314" w:rsidP="00F3275A">
      <w:pPr>
        <w:pStyle w:val="ListParagraph"/>
        <w:numPr>
          <w:ilvl w:val="1"/>
          <w:numId w:val="3"/>
        </w:numPr>
        <w:spacing w:after="0"/>
        <w:jc w:val="both"/>
      </w:pPr>
      <w:r w:rsidRPr="00AC6295">
        <w:t>zpracování odpovědí na dotazy a žádosti o dodatečné informace k zadávacím podmínkám</w:t>
      </w:r>
      <w:r>
        <w:t>, případná vysvětlení zadávacích podmínek a další případná komunikace s uchazeči</w:t>
      </w:r>
    </w:p>
    <w:p w:rsidR="002E7314" w:rsidRPr="009241A1" w:rsidRDefault="002E7314" w:rsidP="00F3275A">
      <w:pPr>
        <w:pStyle w:val="ListParagraph"/>
        <w:numPr>
          <w:ilvl w:val="1"/>
          <w:numId w:val="3"/>
        </w:numPr>
        <w:spacing w:after="0"/>
        <w:jc w:val="both"/>
        <w:rPr>
          <w:b/>
          <w:bCs/>
        </w:rPr>
      </w:pPr>
      <w:r>
        <w:t>organizační zajištění komisí pro otevírání nabídek, posouzení splnění podmínek účasti v zadávacím řízení a hodnocení nabídek, účast v těchto komisích a jejich vedení, včetně vypracování příslušných dokumentů a protokolů z těchto komisí, která budou obsahovat doporučení pro příkazce směřující k výsledku zadávacího řízení a jeho ukončení</w:t>
      </w:r>
    </w:p>
    <w:p w:rsidR="002E7314" w:rsidRDefault="002E7314" w:rsidP="00F3275A">
      <w:pPr>
        <w:pStyle w:val="ListParagraph"/>
        <w:spacing w:after="0"/>
        <w:ind w:left="1440"/>
        <w:jc w:val="both"/>
        <w:rPr>
          <w:b/>
          <w:bCs/>
        </w:rPr>
      </w:pPr>
    </w:p>
    <w:p w:rsidR="002E7314" w:rsidRDefault="002E7314" w:rsidP="00F3275A">
      <w:pPr>
        <w:pStyle w:val="ListParagraph"/>
        <w:spacing w:after="0"/>
        <w:ind w:left="1440"/>
        <w:jc w:val="both"/>
        <w:rPr>
          <w:b/>
          <w:bCs/>
        </w:rPr>
      </w:pPr>
    </w:p>
    <w:p w:rsidR="002E7314" w:rsidRDefault="002E7314" w:rsidP="00F3275A">
      <w:pPr>
        <w:pStyle w:val="ListParagraph"/>
        <w:spacing w:after="0"/>
        <w:ind w:left="1440"/>
        <w:jc w:val="both"/>
        <w:rPr>
          <w:b/>
          <w:bCs/>
        </w:rPr>
      </w:pPr>
    </w:p>
    <w:p w:rsidR="002E7314" w:rsidRPr="00AC6295" w:rsidRDefault="002E7314" w:rsidP="00F3275A">
      <w:pPr>
        <w:pStyle w:val="ListParagraph"/>
        <w:spacing w:after="0"/>
        <w:ind w:left="1440"/>
        <w:jc w:val="both"/>
        <w:rPr>
          <w:b/>
          <w:bCs/>
        </w:rPr>
      </w:pPr>
    </w:p>
    <w:p w:rsidR="002E7314" w:rsidRDefault="002E7314" w:rsidP="00F3275A">
      <w:pPr>
        <w:pStyle w:val="ListParagraph"/>
        <w:numPr>
          <w:ilvl w:val="0"/>
          <w:numId w:val="4"/>
        </w:numPr>
        <w:spacing w:after="0"/>
        <w:jc w:val="both"/>
        <w:rPr>
          <w:b/>
          <w:bCs/>
        </w:rPr>
      </w:pPr>
      <w:r w:rsidRPr="009241A1">
        <w:rPr>
          <w:b/>
          <w:bCs/>
        </w:rPr>
        <w:t>V rámci ukončení zadávací</w:t>
      </w:r>
      <w:r>
        <w:rPr>
          <w:b/>
          <w:bCs/>
        </w:rPr>
        <w:t>ho</w:t>
      </w:r>
      <w:r w:rsidRPr="009241A1">
        <w:rPr>
          <w:b/>
          <w:bCs/>
        </w:rPr>
        <w:t xml:space="preserve"> řízení</w:t>
      </w:r>
    </w:p>
    <w:p w:rsidR="002E7314" w:rsidRDefault="002E7314" w:rsidP="00F3275A">
      <w:pPr>
        <w:pStyle w:val="ListParagraph"/>
        <w:numPr>
          <w:ilvl w:val="1"/>
          <w:numId w:val="4"/>
        </w:numPr>
        <w:spacing w:after="0"/>
        <w:jc w:val="both"/>
      </w:pPr>
      <w:r w:rsidRPr="009241A1">
        <w:t>zpracování oznámení</w:t>
      </w:r>
      <w:r>
        <w:t xml:space="preserve"> o</w:t>
      </w:r>
      <w:r w:rsidRPr="009241A1">
        <w:t xml:space="preserve"> </w:t>
      </w:r>
      <w:r>
        <w:t>výběru dodavatele nebo</w:t>
      </w:r>
      <w:r w:rsidRPr="009241A1">
        <w:t xml:space="preserve"> o případném vyloučení </w:t>
      </w:r>
      <w:r>
        <w:t>účastníka z další účasti v zadávacím řízení a zajištění jejich doručení příslušným účastníkům zadávacího řízení</w:t>
      </w:r>
    </w:p>
    <w:p w:rsidR="002E7314" w:rsidRPr="009241A1" w:rsidRDefault="002E7314" w:rsidP="00F3275A">
      <w:pPr>
        <w:pStyle w:val="ListParagraph"/>
        <w:numPr>
          <w:ilvl w:val="1"/>
          <w:numId w:val="4"/>
        </w:numPr>
        <w:spacing w:after="0"/>
        <w:jc w:val="both"/>
      </w:pPr>
      <w:r>
        <w:t>zajištění součinnosti s vybraným dodavatelem směřující k uzavření smlouvy (vyžádání příslušných dokladů a dokumentů)</w:t>
      </w:r>
    </w:p>
    <w:p w:rsidR="002E7314" w:rsidRDefault="002E7314" w:rsidP="00F3275A">
      <w:pPr>
        <w:pStyle w:val="ListParagraph"/>
        <w:numPr>
          <w:ilvl w:val="1"/>
          <w:numId w:val="4"/>
        </w:numPr>
        <w:spacing w:after="0"/>
        <w:jc w:val="both"/>
      </w:pPr>
      <w:r>
        <w:t>zpracování a uveřejnění písemné zprávy zadavatele</w:t>
      </w:r>
    </w:p>
    <w:p w:rsidR="002E7314" w:rsidRDefault="002E7314" w:rsidP="00F3275A">
      <w:pPr>
        <w:pStyle w:val="ListParagraph"/>
        <w:numPr>
          <w:ilvl w:val="1"/>
          <w:numId w:val="4"/>
        </w:numPr>
        <w:spacing w:after="0"/>
        <w:jc w:val="both"/>
      </w:pPr>
      <w:r>
        <w:t>splnění povinností dle §219 zákona</w:t>
      </w:r>
    </w:p>
    <w:p w:rsidR="002E7314" w:rsidRDefault="002E7314" w:rsidP="00F3275A">
      <w:pPr>
        <w:pStyle w:val="ListParagraph"/>
        <w:numPr>
          <w:ilvl w:val="1"/>
          <w:numId w:val="4"/>
        </w:numPr>
        <w:spacing w:after="0"/>
        <w:jc w:val="both"/>
      </w:pPr>
      <w:r>
        <w:t>splnění zákonných požadavků týkajících se uveřejňování na profilu zadavatele</w:t>
      </w:r>
    </w:p>
    <w:p w:rsidR="002E7314" w:rsidRPr="006C2D58" w:rsidRDefault="002E7314" w:rsidP="00F3275A">
      <w:pPr>
        <w:pStyle w:val="ListParagraph"/>
        <w:numPr>
          <w:ilvl w:val="1"/>
          <w:numId w:val="4"/>
        </w:numPr>
        <w:spacing w:after="0"/>
        <w:jc w:val="both"/>
      </w:pPr>
      <w:r>
        <w:t xml:space="preserve">zpracování a uveřejňování příslušných formulářů ve Věstníku veřejných zakázek </w:t>
      </w:r>
    </w:p>
    <w:p w:rsidR="002E7314" w:rsidRDefault="002E7314" w:rsidP="00F3275A">
      <w:pPr>
        <w:pStyle w:val="ListParagraph"/>
        <w:numPr>
          <w:ilvl w:val="1"/>
          <w:numId w:val="4"/>
        </w:numPr>
        <w:spacing w:after="0"/>
        <w:jc w:val="both"/>
      </w:pPr>
      <w:r>
        <w:t xml:space="preserve">posouzení případných námitek účastníků zadávacího řízení a </w:t>
      </w:r>
      <w:r w:rsidRPr="006C2D58">
        <w:t xml:space="preserve">zpracování rozhodnutí o </w:t>
      </w:r>
      <w:r>
        <w:t>námitkách</w:t>
      </w:r>
    </w:p>
    <w:p w:rsidR="002E7314" w:rsidRDefault="002E7314" w:rsidP="00395AFE">
      <w:pPr>
        <w:pStyle w:val="ListParagraph"/>
        <w:numPr>
          <w:ilvl w:val="1"/>
          <w:numId w:val="4"/>
        </w:numPr>
        <w:spacing w:after="0"/>
        <w:jc w:val="both"/>
      </w:pPr>
      <w:r>
        <w:t>spolupráce se příkazcem</w:t>
      </w:r>
      <w:r w:rsidRPr="006C2D58">
        <w:t xml:space="preserve"> při řešení návrhu </w:t>
      </w:r>
      <w:r>
        <w:t>podaného k</w:t>
      </w:r>
      <w:r w:rsidRPr="006C2D58">
        <w:t xml:space="preserve"> Úřad</w:t>
      </w:r>
      <w:r>
        <w:t>u</w:t>
      </w:r>
      <w:r w:rsidRPr="006C2D58">
        <w:t xml:space="preserve"> pro ochranu hospodářské soutěže nebo jiné</w:t>
      </w:r>
      <w:r>
        <w:t xml:space="preserve">mu </w:t>
      </w:r>
      <w:r w:rsidRPr="006C2D58">
        <w:t>orgánu, který provádí kontrolu zadávacího řízení</w:t>
      </w:r>
    </w:p>
    <w:p w:rsidR="002E7314" w:rsidRDefault="002E7314" w:rsidP="00395AFE">
      <w:pPr>
        <w:pStyle w:val="ListParagraph"/>
        <w:numPr>
          <w:ilvl w:val="1"/>
          <w:numId w:val="4"/>
        </w:numPr>
        <w:spacing w:after="0"/>
        <w:jc w:val="both"/>
      </w:pPr>
      <w:r w:rsidRPr="006C2D58">
        <w:t xml:space="preserve"> zpracování stanoviska</w:t>
      </w:r>
      <w:r>
        <w:t xml:space="preserve"> zadavatele k podanému návrhu </w:t>
      </w:r>
    </w:p>
    <w:p w:rsidR="002E7314" w:rsidRDefault="002E7314" w:rsidP="00F3275A">
      <w:pPr>
        <w:pStyle w:val="ListParagraph"/>
        <w:numPr>
          <w:ilvl w:val="1"/>
          <w:numId w:val="4"/>
        </w:numPr>
        <w:spacing w:after="0"/>
        <w:jc w:val="both"/>
      </w:pPr>
      <w:r>
        <w:t>spolupráce s příkazcem při provádění kontroly postupu realizace zadávacího řízení poskytovatelem dotace</w:t>
      </w:r>
    </w:p>
    <w:p w:rsidR="002E7314" w:rsidRDefault="002E7314" w:rsidP="00DF4C7F">
      <w:pPr>
        <w:pStyle w:val="ListParagraph"/>
        <w:numPr>
          <w:ilvl w:val="1"/>
          <w:numId w:val="4"/>
        </w:numPr>
        <w:spacing w:after="0"/>
        <w:jc w:val="both"/>
      </w:pPr>
      <w:r>
        <w:t>vypořádání případných připomínek poskytovatele dotace k postupu při výběru dodavatele</w:t>
      </w:r>
    </w:p>
    <w:p w:rsidR="002E7314" w:rsidRPr="006C2D58" w:rsidRDefault="002E7314" w:rsidP="00DF4C7F">
      <w:pPr>
        <w:pStyle w:val="ListParagraph"/>
        <w:spacing w:after="0"/>
        <w:ind w:left="0"/>
        <w:jc w:val="both"/>
      </w:pPr>
    </w:p>
    <w:p w:rsidR="002E7314" w:rsidRPr="006C2D58" w:rsidRDefault="002E7314" w:rsidP="006C2D58">
      <w:pPr>
        <w:pStyle w:val="ListParagraph"/>
        <w:numPr>
          <w:ilvl w:val="0"/>
          <w:numId w:val="4"/>
        </w:numPr>
        <w:spacing w:after="0"/>
        <w:rPr>
          <w:b/>
          <w:bCs/>
        </w:rPr>
      </w:pPr>
      <w:r w:rsidRPr="006C2D58">
        <w:rPr>
          <w:b/>
          <w:bCs/>
        </w:rPr>
        <w:t xml:space="preserve">Po ukončení zadávacího řízení </w:t>
      </w:r>
    </w:p>
    <w:p w:rsidR="002E7314" w:rsidRDefault="002E7314" w:rsidP="00197CAF">
      <w:pPr>
        <w:pStyle w:val="ListParagraph"/>
        <w:numPr>
          <w:ilvl w:val="1"/>
          <w:numId w:val="4"/>
        </w:numPr>
        <w:spacing w:after="0"/>
        <w:jc w:val="both"/>
      </w:pPr>
      <w:r w:rsidRPr="00307243">
        <w:t>posou</w:t>
      </w:r>
      <w:r>
        <w:t>zení</w:t>
      </w:r>
      <w:r w:rsidRPr="00307243">
        <w:t xml:space="preserve"> přípustnost</w:t>
      </w:r>
      <w:r>
        <w:t>i</w:t>
      </w:r>
      <w:r w:rsidRPr="00307243">
        <w:t xml:space="preserve"> provedení chystané změny závazku ze smlouvy na veřejnou zakázku. Příkazník posoudí, zda navrhovaná změna závazku na veřejnou zakázku je změnou podstatnou či nepodstatnou a vyhodnotí možnost jejího provedení v souladu s § 222 zákona č. 134/2016 Sb., o zadávání veřejných zakáze</w:t>
      </w:r>
      <w:r>
        <w:t>k, ve znění pozdějších předpisů</w:t>
      </w:r>
    </w:p>
    <w:p w:rsidR="002E7314" w:rsidRPr="00307243" w:rsidRDefault="002E7314" w:rsidP="00197CAF">
      <w:pPr>
        <w:pStyle w:val="ListParagraph"/>
        <w:numPr>
          <w:ilvl w:val="1"/>
          <w:numId w:val="4"/>
        </w:numPr>
        <w:spacing w:after="0"/>
        <w:jc w:val="both"/>
      </w:pPr>
      <w:r>
        <w:t>vypracování návrhu příslušného dodatku ke smlouvě na plnění veřejné zakázky na základě posouzení dle předchozího bodu</w:t>
      </w:r>
    </w:p>
    <w:p w:rsidR="002E7314" w:rsidRDefault="002E7314" w:rsidP="00197CAF">
      <w:pPr>
        <w:pStyle w:val="ListParagraph"/>
        <w:numPr>
          <w:ilvl w:val="1"/>
          <w:numId w:val="4"/>
        </w:numPr>
        <w:spacing w:after="0"/>
        <w:jc w:val="both"/>
      </w:pPr>
      <w:r w:rsidRPr="00307243">
        <w:t>zpracování a uveřejňování příslušného formuláře ve Věstníku veřejných zakázek</w:t>
      </w:r>
      <w:r>
        <w:t xml:space="preserve"> </w:t>
      </w:r>
      <w:r w:rsidRPr="00307243">
        <w:t>vztahující</w:t>
      </w:r>
      <w:r>
        <w:t>ho</w:t>
      </w:r>
      <w:r w:rsidRPr="00307243">
        <w:t xml:space="preserve"> se ke změně závazku </w:t>
      </w:r>
    </w:p>
    <w:p w:rsidR="002E7314" w:rsidRDefault="002E7314" w:rsidP="00A3115E">
      <w:pPr>
        <w:pStyle w:val="ListParagraph"/>
        <w:ind w:left="1440"/>
        <w:jc w:val="both"/>
      </w:pPr>
    </w:p>
    <w:p w:rsidR="002E7314" w:rsidRPr="00A3115E" w:rsidRDefault="002E7314" w:rsidP="00A3115E">
      <w:pPr>
        <w:pStyle w:val="ListParagraph"/>
        <w:numPr>
          <w:ilvl w:val="0"/>
          <w:numId w:val="2"/>
        </w:numPr>
        <w:spacing w:after="0"/>
        <w:jc w:val="both"/>
      </w:pPr>
      <w:r w:rsidRPr="00A3115E">
        <w:t xml:space="preserve">Pokud </w:t>
      </w:r>
      <w:r>
        <w:t xml:space="preserve">při provádění činností příkazníka dle této smlouvy </w:t>
      </w:r>
      <w:r w:rsidRPr="00A3115E">
        <w:t xml:space="preserve">nastane potřeba učinit jiný úkon </w:t>
      </w:r>
      <w:r>
        <w:t xml:space="preserve">neuvedený v odst. 3 tohoto článku, pak je povinností příkazníka </w:t>
      </w:r>
      <w:r w:rsidRPr="00A3115E">
        <w:t>takový úkon učinit, a to bez nároku na odměnu nad rámec</w:t>
      </w:r>
      <w:r>
        <w:t xml:space="preserve"> sjednané v čl. III. této smlouvy. </w:t>
      </w:r>
    </w:p>
    <w:p w:rsidR="002E7314" w:rsidRDefault="002E7314" w:rsidP="00882B24">
      <w:pPr>
        <w:pStyle w:val="ListParagraph"/>
        <w:jc w:val="both"/>
      </w:pPr>
    </w:p>
    <w:p w:rsidR="002E7314" w:rsidRDefault="002E7314" w:rsidP="0020262F">
      <w:pPr>
        <w:pStyle w:val="ListParagraph"/>
        <w:numPr>
          <w:ilvl w:val="0"/>
          <w:numId w:val="2"/>
        </w:numPr>
        <w:jc w:val="both"/>
      </w:pPr>
      <w:r w:rsidRPr="00882B24">
        <w:t>Při své činnosti je příkazník povinen postupovat a řídit se zákonem č. 134/2016 Sb., o</w:t>
      </w:r>
      <w:r>
        <w:t> </w:t>
      </w:r>
      <w:r w:rsidRPr="00882B24">
        <w:t>zadávání veřejných zakázek, ve znění pozdějších předpisů včetně prováděcích předpisů, dotačními pravidly a podmínkami dotačních programů stanovených pro zadávání veřejných zakázek</w:t>
      </w:r>
      <w:r>
        <w:t>.</w:t>
      </w:r>
      <w:r w:rsidRPr="00882B24">
        <w:t xml:space="preserve"> Dále je povinen postupovat podle ustálené judikatury a rozhodnutí Úřadu pro ochranu hospodářské soutěže a v souladu s interními předpisy příkazce.</w:t>
      </w:r>
    </w:p>
    <w:p w:rsidR="002E7314" w:rsidRDefault="002E7314" w:rsidP="00B52E3A">
      <w:pPr>
        <w:pStyle w:val="ListParagraph"/>
      </w:pPr>
    </w:p>
    <w:p w:rsidR="002E7314" w:rsidRPr="00B52E3A" w:rsidRDefault="002E7314" w:rsidP="00A6756C">
      <w:pPr>
        <w:spacing w:after="0"/>
        <w:jc w:val="center"/>
        <w:outlineLvl w:val="0"/>
        <w:rPr>
          <w:b/>
          <w:bCs/>
        </w:rPr>
      </w:pPr>
      <w:r w:rsidRPr="00B52E3A">
        <w:rPr>
          <w:b/>
          <w:bCs/>
        </w:rPr>
        <w:t>I</w:t>
      </w:r>
      <w:r>
        <w:rPr>
          <w:b/>
          <w:bCs/>
        </w:rPr>
        <w:t>II</w:t>
      </w:r>
      <w:r w:rsidRPr="00B52E3A">
        <w:rPr>
          <w:b/>
          <w:bCs/>
        </w:rPr>
        <w:t>.</w:t>
      </w:r>
    </w:p>
    <w:p w:rsidR="002E7314" w:rsidRDefault="002E7314" w:rsidP="00B52E3A">
      <w:pPr>
        <w:spacing w:after="0"/>
        <w:jc w:val="center"/>
        <w:rPr>
          <w:b/>
          <w:bCs/>
        </w:rPr>
      </w:pPr>
      <w:r w:rsidRPr="00B52E3A">
        <w:rPr>
          <w:b/>
          <w:bCs/>
        </w:rPr>
        <w:t>Odměna a platební podmínky</w:t>
      </w:r>
    </w:p>
    <w:p w:rsidR="002E7314" w:rsidRPr="00B52E3A" w:rsidRDefault="002E7314" w:rsidP="00B52E3A">
      <w:pPr>
        <w:spacing w:after="0"/>
        <w:jc w:val="center"/>
        <w:rPr>
          <w:b/>
          <w:bCs/>
        </w:rPr>
      </w:pPr>
    </w:p>
    <w:p w:rsidR="002E7314" w:rsidRDefault="002E7314" w:rsidP="00B52E3A">
      <w:pPr>
        <w:pStyle w:val="ListParagraph"/>
        <w:numPr>
          <w:ilvl w:val="0"/>
          <w:numId w:val="7"/>
        </w:numPr>
        <w:jc w:val="both"/>
      </w:pPr>
      <w:r w:rsidRPr="00B52E3A">
        <w:t xml:space="preserve">Smluvní strany se dohodly, že za řádné </w:t>
      </w:r>
      <w:r>
        <w:t>provádění činností</w:t>
      </w:r>
      <w:r w:rsidRPr="00B52E3A">
        <w:t xml:space="preserve"> dle této smlouvy náleží příkazníkovi odměna</w:t>
      </w:r>
      <w:r>
        <w:t xml:space="preserve"> v této výši:</w:t>
      </w:r>
    </w:p>
    <w:tbl>
      <w:tblPr>
        <w:tblW w:w="91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6"/>
        <w:gridCol w:w="1985"/>
        <w:gridCol w:w="1577"/>
        <w:gridCol w:w="2161"/>
      </w:tblGrid>
      <w:tr w:rsidR="002E7314" w:rsidRPr="002C2ED7" w:rsidTr="00197CAF">
        <w:trPr>
          <w:trHeight w:val="523"/>
        </w:trPr>
        <w:tc>
          <w:tcPr>
            <w:tcW w:w="3386" w:type="dxa"/>
          </w:tcPr>
          <w:p w:rsidR="002E7314" w:rsidRPr="002C2ED7" w:rsidRDefault="002E7314" w:rsidP="002C2ED7">
            <w:pPr>
              <w:pStyle w:val="ListParagraph"/>
              <w:spacing w:after="0" w:line="240" w:lineRule="auto"/>
              <w:ind w:left="0"/>
              <w:jc w:val="both"/>
            </w:pPr>
            <w:r w:rsidRPr="002C2ED7">
              <w:t>Název veřejné zakázky</w:t>
            </w:r>
          </w:p>
        </w:tc>
        <w:tc>
          <w:tcPr>
            <w:tcW w:w="1985" w:type="dxa"/>
          </w:tcPr>
          <w:p w:rsidR="002E7314" w:rsidRPr="002C2ED7" w:rsidRDefault="002E7314" w:rsidP="002C2ED7">
            <w:pPr>
              <w:pStyle w:val="ListParagraph"/>
              <w:spacing w:after="0" w:line="240" w:lineRule="auto"/>
              <w:ind w:left="0"/>
              <w:jc w:val="both"/>
            </w:pPr>
            <w:r w:rsidRPr="002C2ED7">
              <w:t>Odměna v Kč bez DPH</w:t>
            </w:r>
          </w:p>
        </w:tc>
        <w:tc>
          <w:tcPr>
            <w:tcW w:w="1577" w:type="dxa"/>
          </w:tcPr>
          <w:p w:rsidR="002E7314" w:rsidRPr="002C2ED7" w:rsidRDefault="002E7314" w:rsidP="002C2ED7">
            <w:pPr>
              <w:pStyle w:val="ListParagraph"/>
              <w:spacing w:after="0" w:line="240" w:lineRule="auto"/>
              <w:ind w:left="0"/>
              <w:jc w:val="both"/>
            </w:pPr>
            <w:r w:rsidRPr="002C2ED7">
              <w:t>DPH</w:t>
            </w:r>
          </w:p>
        </w:tc>
        <w:tc>
          <w:tcPr>
            <w:tcW w:w="2161" w:type="dxa"/>
          </w:tcPr>
          <w:p w:rsidR="002E7314" w:rsidRPr="002C2ED7" w:rsidRDefault="002E7314" w:rsidP="002C2ED7">
            <w:pPr>
              <w:pStyle w:val="ListParagraph"/>
              <w:spacing w:after="0" w:line="240" w:lineRule="auto"/>
              <w:ind w:left="0"/>
              <w:jc w:val="both"/>
            </w:pPr>
            <w:r w:rsidRPr="002C2ED7">
              <w:t>Odměna v Kč  s DPH</w:t>
            </w:r>
          </w:p>
        </w:tc>
      </w:tr>
      <w:tr w:rsidR="002E7314" w:rsidRPr="002C2ED7" w:rsidTr="00197CAF">
        <w:trPr>
          <w:trHeight w:val="531"/>
        </w:trPr>
        <w:tc>
          <w:tcPr>
            <w:tcW w:w="3386" w:type="dxa"/>
          </w:tcPr>
          <w:p w:rsidR="002E7314" w:rsidRPr="002C2ED7" w:rsidRDefault="002E7314" w:rsidP="002C2ED7">
            <w:pPr>
              <w:pStyle w:val="ListParagraph"/>
              <w:spacing w:after="0" w:line="240" w:lineRule="auto"/>
              <w:ind w:left="0"/>
              <w:jc w:val="both"/>
            </w:pPr>
            <w:r>
              <w:t>Odkanalizování místních částí Vlčovice a Mniší – technický dozor investora, BOZP</w:t>
            </w:r>
          </w:p>
        </w:tc>
        <w:tc>
          <w:tcPr>
            <w:tcW w:w="1985" w:type="dxa"/>
          </w:tcPr>
          <w:p w:rsidR="002E7314" w:rsidRPr="002C2ED7" w:rsidRDefault="002E7314" w:rsidP="002C2ED7">
            <w:pPr>
              <w:pStyle w:val="ListParagraph"/>
              <w:spacing w:after="0" w:line="240" w:lineRule="auto"/>
              <w:ind w:left="0"/>
              <w:jc w:val="both"/>
            </w:pPr>
          </w:p>
        </w:tc>
        <w:tc>
          <w:tcPr>
            <w:tcW w:w="1577" w:type="dxa"/>
          </w:tcPr>
          <w:p w:rsidR="002E7314" w:rsidRPr="002C2ED7" w:rsidRDefault="002E7314" w:rsidP="002C2ED7">
            <w:pPr>
              <w:pStyle w:val="ListParagraph"/>
              <w:spacing w:after="0" w:line="240" w:lineRule="auto"/>
              <w:ind w:left="0"/>
              <w:jc w:val="both"/>
            </w:pPr>
          </w:p>
        </w:tc>
        <w:tc>
          <w:tcPr>
            <w:tcW w:w="2161" w:type="dxa"/>
          </w:tcPr>
          <w:p w:rsidR="002E7314" w:rsidRPr="002C2ED7" w:rsidRDefault="002E7314" w:rsidP="002C2ED7">
            <w:pPr>
              <w:pStyle w:val="ListParagraph"/>
              <w:spacing w:after="0" w:line="240" w:lineRule="auto"/>
              <w:ind w:left="0"/>
              <w:jc w:val="both"/>
            </w:pPr>
          </w:p>
        </w:tc>
      </w:tr>
      <w:tr w:rsidR="002E7314" w:rsidRPr="002C2ED7" w:rsidTr="00197CAF">
        <w:trPr>
          <w:trHeight w:val="531"/>
        </w:trPr>
        <w:tc>
          <w:tcPr>
            <w:tcW w:w="3386" w:type="dxa"/>
          </w:tcPr>
          <w:p w:rsidR="002E7314" w:rsidRPr="002C2ED7" w:rsidRDefault="002E7314" w:rsidP="002C2ED7">
            <w:pPr>
              <w:pStyle w:val="ListParagraph"/>
              <w:spacing w:after="0" w:line="240" w:lineRule="auto"/>
              <w:ind w:left="0"/>
              <w:jc w:val="both"/>
            </w:pPr>
            <w:r>
              <w:t>Odkanalizování místních částí Vlčovice a Mniší - stavba</w:t>
            </w:r>
          </w:p>
        </w:tc>
        <w:tc>
          <w:tcPr>
            <w:tcW w:w="1985" w:type="dxa"/>
          </w:tcPr>
          <w:p w:rsidR="002E7314" w:rsidRPr="002C2ED7" w:rsidRDefault="002E7314" w:rsidP="002C2ED7">
            <w:pPr>
              <w:pStyle w:val="ListParagraph"/>
              <w:spacing w:after="0" w:line="240" w:lineRule="auto"/>
              <w:ind w:left="0"/>
              <w:jc w:val="both"/>
            </w:pPr>
          </w:p>
        </w:tc>
        <w:tc>
          <w:tcPr>
            <w:tcW w:w="1577" w:type="dxa"/>
          </w:tcPr>
          <w:p w:rsidR="002E7314" w:rsidRPr="002C2ED7" w:rsidRDefault="002E7314" w:rsidP="002C2ED7">
            <w:pPr>
              <w:pStyle w:val="ListParagraph"/>
              <w:spacing w:after="0" w:line="240" w:lineRule="auto"/>
              <w:ind w:left="0"/>
              <w:jc w:val="both"/>
            </w:pPr>
          </w:p>
        </w:tc>
        <w:tc>
          <w:tcPr>
            <w:tcW w:w="2161" w:type="dxa"/>
          </w:tcPr>
          <w:p w:rsidR="002E7314" w:rsidRPr="002C2ED7" w:rsidRDefault="002E7314" w:rsidP="002C2ED7">
            <w:pPr>
              <w:pStyle w:val="ListParagraph"/>
              <w:spacing w:after="0" w:line="240" w:lineRule="auto"/>
              <w:ind w:left="0"/>
              <w:jc w:val="both"/>
            </w:pPr>
          </w:p>
        </w:tc>
      </w:tr>
      <w:tr w:rsidR="002E7314" w:rsidRPr="002C2ED7" w:rsidTr="00197CAF">
        <w:trPr>
          <w:trHeight w:val="501"/>
        </w:trPr>
        <w:tc>
          <w:tcPr>
            <w:tcW w:w="3386" w:type="dxa"/>
          </w:tcPr>
          <w:p w:rsidR="002E7314" w:rsidRPr="002C2ED7" w:rsidRDefault="002E7314" w:rsidP="002C2ED7">
            <w:pPr>
              <w:pStyle w:val="ListParagraph"/>
              <w:spacing w:after="0" w:line="240" w:lineRule="auto"/>
              <w:ind w:left="0"/>
              <w:jc w:val="both"/>
              <w:rPr>
                <w:b/>
                <w:bCs/>
              </w:rPr>
            </w:pPr>
            <w:r w:rsidRPr="002C2ED7">
              <w:rPr>
                <w:b/>
                <w:bCs/>
              </w:rPr>
              <w:t>celkem</w:t>
            </w:r>
          </w:p>
        </w:tc>
        <w:tc>
          <w:tcPr>
            <w:tcW w:w="1985" w:type="dxa"/>
          </w:tcPr>
          <w:p w:rsidR="002E7314" w:rsidRPr="002C2ED7" w:rsidRDefault="002E7314" w:rsidP="002C2ED7">
            <w:pPr>
              <w:pStyle w:val="ListParagraph"/>
              <w:spacing w:after="0" w:line="240" w:lineRule="auto"/>
              <w:ind w:left="0"/>
              <w:jc w:val="both"/>
            </w:pPr>
          </w:p>
        </w:tc>
        <w:tc>
          <w:tcPr>
            <w:tcW w:w="1577" w:type="dxa"/>
          </w:tcPr>
          <w:p w:rsidR="002E7314" w:rsidRPr="002C2ED7" w:rsidRDefault="002E7314" w:rsidP="002C2ED7">
            <w:pPr>
              <w:pStyle w:val="ListParagraph"/>
              <w:spacing w:after="0" w:line="240" w:lineRule="auto"/>
              <w:ind w:left="0"/>
              <w:jc w:val="both"/>
            </w:pPr>
          </w:p>
        </w:tc>
        <w:tc>
          <w:tcPr>
            <w:tcW w:w="2161" w:type="dxa"/>
          </w:tcPr>
          <w:p w:rsidR="002E7314" w:rsidRPr="002C2ED7" w:rsidRDefault="002E7314" w:rsidP="002C2ED7">
            <w:pPr>
              <w:pStyle w:val="ListParagraph"/>
              <w:spacing w:after="0" w:line="240" w:lineRule="auto"/>
              <w:ind w:left="0"/>
              <w:jc w:val="both"/>
            </w:pPr>
          </w:p>
        </w:tc>
      </w:tr>
    </w:tbl>
    <w:p w:rsidR="002E7314" w:rsidRPr="00B52E3A" w:rsidRDefault="002E7314" w:rsidP="007F2AF8">
      <w:pPr>
        <w:pStyle w:val="ListParagraph"/>
        <w:jc w:val="both"/>
      </w:pPr>
      <w:r>
        <w:t xml:space="preserve"> </w:t>
      </w:r>
    </w:p>
    <w:p w:rsidR="002E7314" w:rsidRDefault="002E7314" w:rsidP="007F2AF8">
      <w:pPr>
        <w:pStyle w:val="ListParagraph"/>
        <w:numPr>
          <w:ilvl w:val="0"/>
          <w:numId w:val="7"/>
        </w:numPr>
        <w:jc w:val="both"/>
      </w:pPr>
      <w:r w:rsidRPr="00B52E3A">
        <w:t xml:space="preserve">Odměna stanovená dle </w:t>
      </w:r>
      <w:r>
        <w:t>odstavce</w:t>
      </w:r>
      <w:r w:rsidRPr="00B52E3A">
        <w:t xml:space="preserve"> </w:t>
      </w:r>
      <w:r>
        <w:t>1</w:t>
      </w:r>
      <w:r w:rsidRPr="00B52E3A">
        <w:t>. tohoto článku</w:t>
      </w:r>
      <w:r>
        <w:t xml:space="preserve"> je maximální a konečná,</w:t>
      </w:r>
      <w:r w:rsidRPr="00B52E3A">
        <w:t xml:space="preserve"> obsahuje všechny práce, činnosti a náklady nutné k  řádnému provedení příkazu</w:t>
      </w:r>
      <w:r>
        <w:t xml:space="preserve"> dle této smlouvy</w:t>
      </w:r>
      <w:r w:rsidRPr="00B52E3A">
        <w:t>, včetně nákladů na dopravu, kancelářský materiál, poštovné, náhradu za promeškaný čas apod. Tyto náklady si příkazník není oprávněn účtovat.</w:t>
      </w:r>
    </w:p>
    <w:p w:rsidR="002E7314" w:rsidRDefault="002E7314" w:rsidP="007F2AF8">
      <w:pPr>
        <w:pStyle w:val="ListParagraph"/>
        <w:numPr>
          <w:ilvl w:val="0"/>
          <w:numId w:val="7"/>
        </w:numPr>
        <w:jc w:val="both"/>
      </w:pPr>
      <w:r w:rsidRPr="00B52E3A">
        <w:t>Odměna</w:t>
      </w:r>
      <w:r>
        <w:t xml:space="preserve"> bude zaplacena ve </w:t>
      </w:r>
      <w:r w:rsidRPr="00453A07">
        <w:t>dvou částech</w:t>
      </w:r>
      <w:r>
        <w:t xml:space="preserve"> ve výši dle odst. 1 tohoto článku (zvlášť za každou veřejnou zakázku), a to vždy </w:t>
      </w:r>
      <w:r w:rsidRPr="00B52E3A">
        <w:t>po řádném provedení a ukončení zadávacího řízení,</w:t>
      </w:r>
      <w:r>
        <w:t xml:space="preserve"> </w:t>
      </w:r>
      <w:r w:rsidRPr="00B52E3A">
        <w:t>včetně všech úkonů a činností k tomu potřebných a s tím spojených</w:t>
      </w:r>
      <w:r>
        <w:t>, vztahující se k dané veřejné zakázce.</w:t>
      </w:r>
    </w:p>
    <w:p w:rsidR="002E7314" w:rsidRDefault="002E7314" w:rsidP="007F2AF8">
      <w:pPr>
        <w:pStyle w:val="ListParagraph"/>
        <w:numPr>
          <w:ilvl w:val="0"/>
          <w:numId w:val="7"/>
        </w:numPr>
        <w:jc w:val="both"/>
      </w:pPr>
      <w:r w:rsidRPr="00B52E3A">
        <w:t>Řádným ukončením zadávacího řízení se rozumí zadání veřejné zakázky, včetně uzavření smlouvy s dodavatelem, popřípadě zrušení zadávacího řízení příkazcem, neleží-li důvody zrušení zadávacího řízení na straně příkazníka</w:t>
      </w:r>
      <w:r>
        <w:t>, v takovém případě odměna příkazníkovi nenáleží</w:t>
      </w:r>
      <w:r w:rsidRPr="00B52E3A">
        <w:t>.</w:t>
      </w:r>
    </w:p>
    <w:p w:rsidR="002E7314" w:rsidRDefault="002E7314" w:rsidP="007F2AF8">
      <w:pPr>
        <w:pStyle w:val="ListParagraph"/>
        <w:numPr>
          <w:ilvl w:val="0"/>
          <w:numId w:val="7"/>
        </w:numPr>
        <w:jc w:val="both"/>
      </w:pPr>
      <w:r>
        <w:t xml:space="preserve">V případě že dojde ke zrušení zadávacího řízení  a příkazce rozhodne o zahájení nového zadávacího řízení se shodným předmětem plnění, zavazuje se příkazník k realizaci tohoto opakovaného zadávacího řízení, a to za odměnu ve výši 50 % z příslušné části odměny dle odst. 1 tohoto článku </w:t>
      </w:r>
      <w:r w:rsidRPr="00B52E3A">
        <w:t xml:space="preserve">.  </w:t>
      </w:r>
    </w:p>
    <w:p w:rsidR="002E7314" w:rsidRDefault="002E7314" w:rsidP="00E61DCD">
      <w:pPr>
        <w:pStyle w:val="ListParagraph"/>
        <w:numPr>
          <w:ilvl w:val="0"/>
          <w:numId w:val="7"/>
        </w:numPr>
        <w:jc w:val="both"/>
      </w:pPr>
      <w:r>
        <w:t>Bude-li zadávací řízení ukončeno jiným způsobem než uzavřením smlouvy, má příkazník právo na odměnu ve výši 80 % z příslušné části odměny dle odst. 1 tohoto článku.</w:t>
      </w:r>
    </w:p>
    <w:p w:rsidR="002E7314" w:rsidRDefault="002E7314" w:rsidP="007F2AF8">
      <w:pPr>
        <w:pStyle w:val="ListParagraph"/>
        <w:numPr>
          <w:ilvl w:val="0"/>
          <w:numId w:val="7"/>
        </w:numPr>
        <w:jc w:val="both"/>
      </w:pPr>
      <w:r w:rsidRPr="00B52E3A">
        <w:t>V rámci přípravy a realiza</w:t>
      </w:r>
      <w:r>
        <w:t>ce veřejných zakázek specifikovaných v čl. I. odstavci 1</w:t>
      </w:r>
      <w:r w:rsidRPr="00B52E3A">
        <w:t>. této smlouvy není možné účtovat konzultační služby, neboť tyto jsou již zahrnuty v odměně za toto plnění.</w:t>
      </w:r>
    </w:p>
    <w:p w:rsidR="002E7314" w:rsidRPr="00B52E3A" w:rsidRDefault="002E7314" w:rsidP="007F2AF8">
      <w:pPr>
        <w:pStyle w:val="ListParagraph"/>
        <w:numPr>
          <w:ilvl w:val="0"/>
          <w:numId w:val="7"/>
        </w:numPr>
        <w:jc w:val="both"/>
      </w:pPr>
      <w:r w:rsidRPr="00B52E3A">
        <w:t>Změní-li se sazba DPH v důsledku změny právních předpisů, není třeba z tohoto důvodu uzavírat mezi smluvními stranami dodatek k této smlouvě.</w:t>
      </w:r>
    </w:p>
    <w:p w:rsidR="002E7314" w:rsidRDefault="002E7314" w:rsidP="002B379A">
      <w:pPr>
        <w:pStyle w:val="ListParagraph"/>
        <w:numPr>
          <w:ilvl w:val="0"/>
          <w:numId w:val="7"/>
        </w:numPr>
        <w:jc w:val="both"/>
      </w:pPr>
      <w:r w:rsidRPr="00E61DCD">
        <w:t>Obě části odměny</w:t>
      </w:r>
      <w:r w:rsidRPr="00B52E3A">
        <w:t xml:space="preserve"> bu</w:t>
      </w:r>
      <w:r>
        <w:t>dou</w:t>
      </w:r>
      <w:r w:rsidRPr="00B52E3A">
        <w:t xml:space="preserve"> vyúčtován</w:t>
      </w:r>
      <w:r>
        <w:t>y</w:t>
      </w:r>
      <w:r w:rsidRPr="00B52E3A">
        <w:t xml:space="preserve"> příkazníkem příkazci daňovým</w:t>
      </w:r>
      <w:r>
        <w:t>i</w:t>
      </w:r>
      <w:r w:rsidRPr="00B52E3A">
        <w:t xml:space="preserve"> doklad</w:t>
      </w:r>
      <w:r>
        <w:t>y</w:t>
      </w:r>
      <w:r w:rsidRPr="00B52E3A">
        <w:t>, faktur</w:t>
      </w:r>
      <w:r>
        <w:t xml:space="preserve">ami </w:t>
      </w:r>
      <w:r w:rsidRPr="00B52E3A">
        <w:t>zaslan</w:t>
      </w:r>
      <w:r>
        <w:t>ými</w:t>
      </w:r>
      <w:r w:rsidRPr="00B52E3A">
        <w:t xml:space="preserve"> do sídla příkazce, přičemž splatnost faktur bude činit 30 dní od jejího doručení. Nebude-li</w:t>
      </w:r>
      <w:r>
        <w:t xml:space="preserve"> některá z </w:t>
      </w:r>
      <w:r w:rsidRPr="00B52E3A">
        <w:t xml:space="preserve">faktur obsahovat zákonem stanovené náležitosti, nebo bude-li chybně vyúčtována </w:t>
      </w:r>
      <w:r>
        <w:t>odměna</w:t>
      </w:r>
      <w:r w:rsidRPr="00B52E3A">
        <w:t>, je příkazce oprávněn vadnou fakturu vrátit příkazníkovi bez zaplacení k</w:t>
      </w:r>
      <w:r>
        <w:t> </w:t>
      </w:r>
      <w:r w:rsidRPr="00B52E3A">
        <w:t>provedení opravy. Příkazce příkazníkovi sdělí důvod vrácení faktury. Vrátí-li příkazce vadnou fakturu příkazníkovi, přestává běžet původní lhůta splatnosti. Nová lhůta splatnosti běží opět ode dne doručení nově vyhotovené (zhotovitelem opravené) faktury.</w:t>
      </w:r>
    </w:p>
    <w:p w:rsidR="002E7314" w:rsidRPr="00C032FF" w:rsidRDefault="002E7314" w:rsidP="00EF29D5">
      <w:pPr>
        <w:pStyle w:val="Smlouva-slo"/>
        <w:widowControl/>
        <w:numPr>
          <w:ilvl w:val="0"/>
          <w:numId w:val="7"/>
        </w:numPr>
        <w:snapToGrid w:val="0"/>
        <w:spacing w:before="0" w:line="240" w:lineRule="auto"/>
        <w:rPr>
          <w:rFonts w:ascii="Calibri" w:hAnsi="Calibri" w:cs="Calibri"/>
          <w:sz w:val="22"/>
          <w:szCs w:val="22"/>
        </w:rPr>
      </w:pPr>
      <w:r w:rsidRPr="00C032FF">
        <w:rPr>
          <w:rFonts w:ascii="Calibri" w:hAnsi="Calibri" w:cs="Calibri"/>
          <w:sz w:val="22"/>
          <w:szCs w:val="22"/>
        </w:rPr>
        <w:t>Faktury budou příkazníkem vystavovány do výše příslušné části odměny dle odst. 3 tohoto článku. Příkazcem budou faktury uhrazeny do výše 95 % z</w:t>
      </w:r>
      <w:r w:rsidRPr="008F6E16">
        <w:rPr>
          <w:rFonts w:ascii="Calibri" w:hAnsi="Calibri" w:cs="Calibri"/>
          <w:sz w:val="22"/>
          <w:szCs w:val="22"/>
        </w:rPr>
        <w:t> </w:t>
      </w:r>
      <w:r w:rsidRPr="00C032FF">
        <w:rPr>
          <w:rFonts w:ascii="Calibri" w:hAnsi="Calibri" w:cs="Calibri"/>
          <w:sz w:val="22"/>
          <w:szCs w:val="22"/>
        </w:rPr>
        <w:t>účtované částky bez DPH a na zbývající část odměny (tj. nad 95 % příslušné části odměny bez DPH) bude příkazcem v</w:t>
      </w:r>
      <w:r w:rsidRPr="008F6E16">
        <w:rPr>
          <w:rFonts w:ascii="Calibri" w:hAnsi="Calibri" w:cs="Calibri"/>
          <w:sz w:val="22"/>
          <w:szCs w:val="22"/>
        </w:rPr>
        <w:t> </w:t>
      </w:r>
      <w:r w:rsidRPr="00C032FF">
        <w:rPr>
          <w:rFonts w:ascii="Calibri" w:hAnsi="Calibri" w:cs="Calibri"/>
          <w:sz w:val="22"/>
          <w:szCs w:val="22"/>
        </w:rPr>
        <w:t>příslušné faktuře vystavené příkazníkem uplatněno zádržné, a to k</w:t>
      </w:r>
      <w:r w:rsidRPr="008F6E16">
        <w:rPr>
          <w:rFonts w:ascii="Calibri" w:hAnsi="Calibri" w:cs="Calibri"/>
          <w:sz w:val="22"/>
          <w:szCs w:val="22"/>
        </w:rPr>
        <w:t> </w:t>
      </w:r>
      <w:r w:rsidRPr="00C032FF">
        <w:rPr>
          <w:rFonts w:ascii="Calibri" w:hAnsi="Calibri" w:cs="Calibri"/>
          <w:sz w:val="22"/>
          <w:szCs w:val="22"/>
        </w:rPr>
        <w:t>zajištění závazku zhotovitele za řádné dokončení plnění tohoto příkazu. Příkazník je povinen uvést v</w:t>
      </w:r>
      <w:r w:rsidRPr="008F6E16">
        <w:rPr>
          <w:rFonts w:ascii="Calibri" w:hAnsi="Calibri" w:cs="Calibri"/>
          <w:sz w:val="22"/>
          <w:szCs w:val="22"/>
        </w:rPr>
        <w:t> </w:t>
      </w:r>
      <w:r w:rsidRPr="00C032FF">
        <w:rPr>
          <w:rFonts w:ascii="Calibri" w:hAnsi="Calibri" w:cs="Calibri"/>
          <w:sz w:val="22"/>
          <w:szCs w:val="22"/>
        </w:rPr>
        <w:t>této faktuře výši zádržného.</w:t>
      </w:r>
    </w:p>
    <w:p w:rsidR="002E7314" w:rsidRPr="00C032FF" w:rsidRDefault="002E7314" w:rsidP="00EF29D5">
      <w:pPr>
        <w:pStyle w:val="Smlouva-slo"/>
        <w:widowControl/>
        <w:snapToGrid w:val="0"/>
        <w:spacing w:before="0" w:line="240" w:lineRule="auto"/>
        <w:ind w:left="567"/>
        <w:rPr>
          <w:rFonts w:ascii="Calibri" w:hAnsi="Calibri" w:cs="Calibri"/>
          <w:sz w:val="22"/>
          <w:szCs w:val="22"/>
        </w:rPr>
      </w:pPr>
    </w:p>
    <w:p w:rsidR="002E7314" w:rsidRDefault="002E7314" w:rsidP="00C032FF">
      <w:pPr>
        <w:pStyle w:val="Smlouva-slo"/>
        <w:widowControl/>
        <w:numPr>
          <w:ilvl w:val="0"/>
          <w:numId w:val="7"/>
        </w:numPr>
        <w:snapToGrid w:val="0"/>
        <w:spacing w:before="0" w:line="240" w:lineRule="auto"/>
      </w:pPr>
      <w:r w:rsidRPr="00C032FF">
        <w:rPr>
          <w:rFonts w:ascii="Calibri" w:hAnsi="Calibri" w:cs="Calibri"/>
          <w:sz w:val="22"/>
          <w:szCs w:val="22"/>
        </w:rPr>
        <w:t>Zádržné dle odstavce 9. tohoto článku smlouvy bude příkazcem uvolněno</w:t>
      </w:r>
      <w:r w:rsidRPr="008F6E16">
        <w:rPr>
          <w:rFonts w:ascii="Calibri" w:hAnsi="Calibri" w:cs="Calibri"/>
          <w:sz w:val="22"/>
          <w:szCs w:val="22"/>
        </w:rPr>
        <w:t> </w:t>
      </w:r>
      <w:r w:rsidRPr="00C032FF">
        <w:rPr>
          <w:rFonts w:ascii="Calibri" w:hAnsi="Calibri" w:cs="Calibri"/>
          <w:sz w:val="22"/>
          <w:szCs w:val="22"/>
        </w:rPr>
        <w:t xml:space="preserve"> do 15</w:t>
      </w:r>
      <w:r w:rsidRPr="00C032FF">
        <w:rPr>
          <w:rFonts w:ascii="Calibri" w:hAnsi="Calibri" w:cs="Calibri"/>
          <w:color w:val="FF00FF"/>
          <w:sz w:val="22"/>
          <w:szCs w:val="22"/>
        </w:rPr>
        <w:t xml:space="preserve"> </w:t>
      </w:r>
      <w:r w:rsidRPr="00C032FF">
        <w:rPr>
          <w:rFonts w:ascii="Calibri" w:hAnsi="Calibri" w:cs="Calibri"/>
          <w:sz w:val="22"/>
          <w:szCs w:val="22"/>
        </w:rPr>
        <w:t xml:space="preserve">dnů ode dne, </w:t>
      </w:r>
      <w:r>
        <w:rPr>
          <w:rFonts w:ascii="Calibri" w:hAnsi="Calibri" w:cs="Calibri"/>
          <w:sz w:val="22"/>
          <w:szCs w:val="22"/>
        </w:rPr>
        <w:t xml:space="preserve">kdy bude ukončeno plnění na veřejné zakázky administrované </w:t>
      </w:r>
      <w:r w:rsidRPr="00C032FF">
        <w:rPr>
          <w:rFonts w:ascii="Calibri" w:hAnsi="Calibri" w:cs="Calibri"/>
          <w:sz w:val="22"/>
          <w:szCs w:val="22"/>
        </w:rPr>
        <w:t>příkazníkem (</w:t>
      </w:r>
      <w:r>
        <w:rPr>
          <w:rFonts w:ascii="Calibri" w:hAnsi="Calibri" w:cs="Calibri"/>
          <w:sz w:val="22"/>
          <w:szCs w:val="22"/>
        </w:rPr>
        <w:t xml:space="preserve">den </w:t>
      </w:r>
      <w:r w:rsidRPr="00C032FF">
        <w:rPr>
          <w:rFonts w:ascii="Calibri" w:hAnsi="Calibri" w:cs="Calibri"/>
          <w:sz w:val="22"/>
          <w:szCs w:val="22"/>
        </w:rPr>
        <w:t>předání stavby Odkanalizování místních částí Kanalizace Vlčovice Mniší příkazci</w:t>
      </w:r>
      <w:r>
        <w:rPr>
          <w:rFonts w:ascii="Calibri" w:hAnsi="Calibri" w:cs="Calibri"/>
          <w:sz w:val="22"/>
          <w:szCs w:val="22"/>
        </w:rPr>
        <w:t xml:space="preserve"> bez vad a nedodělků</w:t>
      </w:r>
      <w:bookmarkStart w:id="0" w:name="_GoBack"/>
      <w:bookmarkEnd w:id="0"/>
      <w:r w:rsidRPr="00C032FF">
        <w:rPr>
          <w:rFonts w:ascii="Calibri" w:hAnsi="Calibri" w:cs="Calibri"/>
          <w:sz w:val="22"/>
          <w:szCs w:val="22"/>
        </w:rPr>
        <w:t>).</w:t>
      </w:r>
    </w:p>
    <w:p w:rsidR="002E7314" w:rsidRPr="00C032FF" w:rsidRDefault="002E7314" w:rsidP="00C032FF">
      <w:pPr>
        <w:pStyle w:val="Smlouva-slo"/>
        <w:widowControl/>
        <w:snapToGrid w:val="0"/>
        <w:spacing w:before="0" w:line="240" w:lineRule="auto"/>
      </w:pPr>
      <w:r w:rsidRPr="00C032FF">
        <w:rPr>
          <w:rFonts w:ascii="Calibri" w:hAnsi="Calibri" w:cs="Calibri"/>
          <w:color w:val="FF00FF"/>
          <w:sz w:val="22"/>
          <w:szCs w:val="22"/>
        </w:rPr>
        <w:t xml:space="preserve"> </w:t>
      </w:r>
    </w:p>
    <w:p w:rsidR="002E7314" w:rsidRPr="00B52E3A" w:rsidRDefault="002E7314" w:rsidP="00AC6C4B">
      <w:pPr>
        <w:pStyle w:val="ListParagraph"/>
        <w:numPr>
          <w:ilvl w:val="0"/>
          <w:numId w:val="7"/>
        </w:numPr>
        <w:ind w:left="709"/>
      </w:pPr>
      <w:r w:rsidRPr="00B52E3A">
        <w:t>Zálohy nebudou příkazcem poskytovány.</w:t>
      </w:r>
    </w:p>
    <w:p w:rsidR="002E7314" w:rsidRPr="00B52E3A" w:rsidRDefault="002E7314" w:rsidP="00ED34ED">
      <w:pPr>
        <w:spacing w:after="0"/>
      </w:pPr>
    </w:p>
    <w:p w:rsidR="002E7314" w:rsidRPr="00ED34ED" w:rsidRDefault="002E7314" w:rsidP="00A6756C">
      <w:pPr>
        <w:spacing w:after="0"/>
        <w:jc w:val="center"/>
        <w:outlineLvl w:val="0"/>
        <w:rPr>
          <w:b/>
          <w:bCs/>
        </w:rPr>
      </w:pPr>
      <w:r>
        <w:rPr>
          <w:b/>
          <w:bCs/>
        </w:rPr>
        <w:t>I</w:t>
      </w:r>
      <w:r w:rsidRPr="00ED34ED">
        <w:rPr>
          <w:b/>
          <w:bCs/>
        </w:rPr>
        <w:t>V.</w:t>
      </w:r>
    </w:p>
    <w:p w:rsidR="002E7314" w:rsidRPr="00ED34ED" w:rsidRDefault="002E7314" w:rsidP="00ED34ED">
      <w:pPr>
        <w:spacing w:after="0"/>
        <w:jc w:val="center"/>
        <w:rPr>
          <w:b/>
          <w:bCs/>
        </w:rPr>
      </w:pPr>
      <w:r w:rsidRPr="00ED34ED">
        <w:rPr>
          <w:b/>
          <w:bCs/>
        </w:rPr>
        <w:t>Harmonogram a E-ZAK</w:t>
      </w:r>
    </w:p>
    <w:p w:rsidR="002E7314" w:rsidRPr="00ED34ED" w:rsidRDefault="002E7314" w:rsidP="00ED34ED">
      <w:pPr>
        <w:spacing w:after="0"/>
        <w:jc w:val="center"/>
        <w:rPr>
          <w:b/>
          <w:bCs/>
        </w:rPr>
      </w:pPr>
    </w:p>
    <w:p w:rsidR="002E7314" w:rsidRPr="00197CAF" w:rsidRDefault="002E7314" w:rsidP="00ED34ED">
      <w:pPr>
        <w:pStyle w:val="ListParagraph"/>
        <w:numPr>
          <w:ilvl w:val="0"/>
          <w:numId w:val="8"/>
        </w:numPr>
        <w:spacing w:after="0"/>
        <w:jc w:val="both"/>
      </w:pPr>
      <w:r w:rsidRPr="00197CAF">
        <w:t>Harmonogram zadávání veřejných zakázek:</w:t>
      </w:r>
    </w:p>
    <w:tbl>
      <w:tblPr>
        <w:tblpPr w:leftFromText="141" w:rightFromText="141" w:vertAnchor="text" w:horzAnchor="margin" w:tblpXSpec="right"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1"/>
        <w:gridCol w:w="2226"/>
        <w:gridCol w:w="1948"/>
        <w:gridCol w:w="2360"/>
      </w:tblGrid>
      <w:tr w:rsidR="002E7314" w:rsidRPr="00197CAF" w:rsidTr="00197CAF">
        <w:trPr>
          <w:trHeight w:val="552"/>
        </w:trPr>
        <w:tc>
          <w:tcPr>
            <w:tcW w:w="2361" w:type="dxa"/>
          </w:tcPr>
          <w:p w:rsidR="002E7314" w:rsidRPr="00197CAF" w:rsidRDefault="002E7314" w:rsidP="00937088">
            <w:pPr>
              <w:spacing w:after="0" w:line="240" w:lineRule="auto"/>
              <w:jc w:val="center"/>
            </w:pPr>
            <w:r w:rsidRPr="00197CAF">
              <w:t>Název veřejné zakázky</w:t>
            </w:r>
          </w:p>
        </w:tc>
        <w:tc>
          <w:tcPr>
            <w:tcW w:w="2226" w:type="dxa"/>
          </w:tcPr>
          <w:p w:rsidR="002E7314" w:rsidRPr="00197CAF" w:rsidRDefault="002E7314" w:rsidP="00937088">
            <w:pPr>
              <w:spacing w:after="0" w:line="240" w:lineRule="auto"/>
              <w:jc w:val="center"/>
            </w:pPr>
            <w:r w:rsidRPr="00197CAF">
              <w:t>Předpokládaný termín odevzdání zadávacích podmínek příkazci</w:t>
            </w:r>
          </w:p>
        </w:tc>
        <w:tc>
          <w:tcPr>
            <w:tcW w:w="1948" w:type="dxa"/>
          </w:tcPr>
          <w:p w:rsidR="002E7314" w:rsidRPr="00197CAF" w:rsidRDefault="002E7314" w:rsidP="00937088">
            <w:pPr>
              <w:spacing w:after="0" w:line="240" w:lineRule="auto"/>
              <w:jc w:val="center"/>
            </w:pPr>
            <w:r w:rsidRPr="00197CAF">
              <w:t>Předpoklad zahájení zadávacího řízení</w:t>
            </w:r>
          </w:p>
        </w:tc>
        <w:tc>
          <w:tcPr>
            <w:tcW w:w="2360" w:type="dxa"/>
          </w:tcPr>
          <w:p w:rsidR="002E7314" w:rsidRPr="00197CAF" w:rsidRDefault="002E7314" w:rsidP="00937088">
            <w:pPr>
              <w:spacing w:after="0" w:line="240" w:lineRule="auto"/>
              <w:jc w:val="center"/>
            </w:pPr>
            <w:r w:rsidRPr="00197CAF">
              <w:t>Předpoklad ukončení zadávacího řízení</w:t>
            </w:r>
          </w:p>
        </w:tc>
      </w:tr>
      <w:tr w:rsidR="002E7314" w:rsidRPr="00197CAF" w:rsidTr="00197CAF">
        <w:trPr>
          <w:trHeight w:val="750"/>
        </w:trPr>
        <w:tc>
          <w:tcPr>
            <w:tcW w:w="2361" w:type="dxa"/>
          </w:tcPr>
          <w:p w:rsidR="002E7314" w:rsidRPr="00197CAF" w:rsidRDefault="002E7314" w:rsidP="00937088">
            <w:pPr>
              <w:spacing w:after="0" w:line="240" w:lineRule="auto"/>
              <w:jc w:val="center"/>
            </w:pPr>
            <w:r w:rsidRPr="00197CAF">
              <w:t xml:space="preserve">Odkanalizování místních částí Vlčovice </w:t>
            </w:r>
            <w:r>
              <w:t xml:space="preserve">a </w:t>
            </w:r>
            <w:r w:rsidRPr="00197CAF">
              <w:t>Mniší – technický dozor investora, BOZP</w:t>
            </w:r>
          </w:p>
        </w:tc>
        <w:tc>
          <w:tcPr>
            <w:tcW w:w="2226" w:type="dxa"/>
          </w:tcPr>
          <w:p w:rsidR="002E7314" w:rsidRPr="00197CAF" w:rsidRDefault="002E7314" w:rsidP="00937088">
            <w:pPr>
              <w:spacing w:after="0" w:line="240" w:lineRule="auto"/>
              <w:jc w:val="center"/>
            </w:pPr>
            <w:r w:rsidRPr="00197CAF">
              <w:t>Leden 2019</w:t>
            </w:r>
          </w:p>
        </w:tc>
        <w:tc>
          <w:tcPr>
            <w:tcW w:w="1948" w:type="dxa"/>
          </w:tcPr>
          <w:p w:rsidR="002E7314" w:rsidRPr="00197CAF" w:rsidRDefault="002E7314" w:rsidP="00937088">
            <w:pPr>
              <w:spacing w:after="0" w:line="240" w:lineRule="auto"/>
              <w:jc w:val="center"/>
            </w:pPr>
            <w:r w:rsidRPr="00197CAF">
              <w:t>Únor 2019</w:t>
            </w:r>
          </w:p>
        </w:tc>
        <w:tc>
          <w:tcPr>
            <w:tcW w:w="2360" w:type="dxa"/>
          </w:tcPr>
          <w:p w:rsidR="002E7314" w:rsidRPr="00197CAF" w:rsidRDefault="002E7314" w:rsidP="00937088">
            <w:pPr>
              <w:spacing w:after="0" w:line="240" w:lineRule="auto"/>
              <w:jc w:val="center"/>
            </w:pPr>
            <w:r w:rsidRPr="00197CAF">
              <w:t>Duben 2019</w:t>
            </w:r>
          </w:p>
        </w:tc>
      </w:tr>
      <w:tr w:rsidR="002E7314" w:rsidRPr="00197CAF" w:rsidTr="00197CAF">
        <w:trPr>
          <w:trHeight w:val="552"/>
        </w:trPr>
        <w:tc>
          <w:tcPr>
            <w:tcW w:w="2361" w:type="dxa"/>
          </w:tcPr>
          <w:p w:rsidR="002E7314" w:rsidRPr="00197CAF" w:rsidRDefault="002E7314" w:rsidP="00937088">
            <w:pPr>
              <w:spacing w:after="0" w:line="240" w:lineRule="auto"/>
              <w:jc w:val="center"/>
            </w:pPr>
            <w:r w:rsidRPr="00197CAF">
              <w:t xml:space="preserve">Odkanalizování místních částí Vlčovice </w:t>
            </w:r>
            <w:r>
              <w:t xml:space="preserve">a </w:t>
            </w:r>
            <w:r w:rsidRPr="00197CAF">
              <w:t>Mniší - stavba</w:t>
            </w:r>
          </w:p>
        </w:tc>
        <w:tc>
          <w:tcPr>
            <w:tcW w:w="2226" w:type="dxa"/>
          </w:tcPr>
          <w:p w:rsidR="002E7314" w:rsidRPr="00197CAF" w:rsidRDefault="002E7314" w:rsidP="00937088">
            <w:pPr>
              <w:spacing w:after="0" w:line="240" w:lineRule="auto"/>
              <w:jc w:val="center"/>
            </w:pPr>
            <w:r w:rsidRPr="00197CAF">
              <w:t>Duben 2018</w:t>
            </w:r>
          </w:p>
        </w:tc>
        <w:tc>
          <w:tcPr>
            <w:tcW w:w="1948" w:type="dxa"/>
          </w:tcPr>
          <w:p w:rsidR="002E7314" w:rsidRPr="00197CAF" w:rsidRDefault="002E7314" w:rsidP="00937088">
            <w:pPr>
              <w:spacing w:after="0" w:line="240" w:lineRule="auto"/>
              <w:jc w:val="center"/>
            </w:pPr>
            <w:r w:rsidRPr="00197CAF">
              <w:t>Květen 2019</w:t>
            </w:r>
          </w:p>
        </w:tc>
        <w:tc>
          <w:tcPr>
            <w:tcW w:w="2360" w:type="dxa"/>
          </w:tcPr>
          <w:p w:rsidR="002E7314" w:rsidRPr="00197CAF" w:rsidRDefault="002E7314" w:rsidP="00937088">
            <w:pPr>
              <w:spacing w:after="0" w:line="240" w:lineRule="auto"/>
              <w:jc w:val="center"/>
            </w:pPr>
            <w:r w:rsidRPr="00197CAF">
              <w:t>Září 2019</w:t>
            </w:r>
          </w:p>
        </w:tc>
      </w:tr>
    </w:tbl>
    <w:p w:rsidR="002E7314" w:rsidRPr="00197CAF" w:rsidRDefault="002E7314" w:rsidP="00ED34ED">
      <w:pPr>
        <w:spacing w:after="0"/>
        <w:jc w:val="center"/>
      </w:pPr>
    </w:p>
    <w:p w:rsidR="002E7314" w:rsidRPr="00197CAF" w:rsidRDefault="002E7314" w:rsidP="00197CAF">
      <w:pPr>
        <w:pStyle w:val="ListParagraph"/>
        <w:numPr>
          <w:ilvl w:val="0"/>
          <w:numId w:val="8"/>
        </w:numPr>
        <w:shd w:val="clear" w:color="auto" w:fill="FFFFFF"/>
        <w:jc w:val="both"/>
      </w:pPr>
      <w:r w:rsidRPr="00197CAF">
        <w:t>Konkrétní termíny zahájení zadávacího řízení a předložení kompletních  zadávacích podmínek příkazci budou  po vzájemné konzultaci příkazcem stanoveny a  písemně sděleny příkazníkovi, a to i e-mailem na adresu uvedenou v záhlaví této smlouvy.</w:t>
      </w:r>
    </w:p>
    <w:p w:rsidR="002E7314" w:rsidRDefault="002E7314" w:rsidP="009E0677">
      <w:pPr>
        <w:pStyle w:val="ListParagraph"/>
        <w:spacing w:after="0"/>
        <w:jc w:val="both"/>
      </w:pPr>
    </w:p>
    <w:p w:rsidR="002E7314" w:rsidRPr="009E0677" w:rsidRDefault="002E7314" w:rsidP="00197CAF">
      <w:pPr>
        <w:pStyle w:val="ListParagraph"/>
        <w:numPr>
          <w:ilvl w:val="0"/>
          <w:numId w:val="8"/>
        </w:numPr>
        <w:spacing w:after="0"/>
        <w:ind w:left="540"/>
        <w:jc w:val="both"/>
      </w:pPr>
      <w:r w:rsidRPr="009E0677">
        <w:t>Příkazník v rámci předmětu plnění smlouvy bude k zajišťování celého průběhu zadávacího řízení využívat elektronický nástroj pro správu a administrování veřejných zakázek E-ZAK, kterým příkazce disponuje. Veřejná zakázka bude administrována vždy pod evidenčním číslem, které bude příkazníkovi příkazcem sděleno. Příkazník bere na vědomí, že E-ZAK slouží jako profil zadavatele a zavazuje se uveřejňovat na profilu zadavatele všechny příslušné dokumenty v souladu se zákonem č. 134/2016 Sb., o zadávání veřejných zakázek, ve znění pozdějších předpisů. Dále se příkazník zavazuje do části E-ZAKu, která neslouží jako profil zadavatele a je neveřejná, vkládat v elektronické obrazové podobě všechny dokumenty vztahující se k veřejné zakázce, jež jsou nebo mají být vedeny ve spisu veřejné zakázky (např. pr</w:t>
      </w:r>
      <w:r>
        <w:t>otokoly z jednání komisí apod.)</w:t>
      </w:r>
      <w:r w:rsidRPr="009E0677">
        <w:t>. Za účelem plnění povinností dle tohoto článku, bude příkazníkovi příkazcem zřízen přístup do systému E-ZAK, a to vždy ke konkrétní veřejné zakázce</w:t>
      </w:r>
      <w:r>
        <w:t>.</w:t>
      </w:r>
    </w:p>
    <w:p w:rsidR="002E7314" w:rsidRDefault="002E7314" w:rsidP="009E0677">
      <w:pPr>
        <w:jc w:val="center"/>
        <w:rPr>
          <w:b/>
          <w:bCs/>
        </w:rPr>
      </w:pPr>
    </w:p>
    <w:p w:rsidR="002E7314" w:rsidRPr="00F47BD0" w:rsidRDefault="002E7314" w:rsidP="00F47BD0">
      <w:pPr>
        <w:spacing w:after="0"/>
        <w:jc w:val="center"/>
        <w:rPr>
          <w:b/>
          <w:bCs/>
        </w:rPr>
      </w:pPr>
      <w:r>
        <w:rPr>
          <w:b/>
          <w:bCs/>
        </w:rPr>
        <w:t>V</w:t>
      </w:r>
      <w:r w:rsidRPr="00F47BD0">
        <w:rPr>
          <w:b/>
          <w:bCs/>
        </w:rPr>
        <w:t>.</w:t>
      </w:r>
    </w:p>
    <w:p w:rsidR="002E7314" w:rsidRPr="00F47BD0" w:rsidRDefault="002E7314" w:rsidP="00A6756C">
      <w:pPr>
        <w:spacing w:after="0"/>
        <w:jc w:val="center"/>
        <w:outlineLvl w:val="0"/>
        <w:rPr>
          <w:b/>
          <w:bCs/>
        </w:rPr>
      </w:pPr>
      <w:r w:rsidRPr="00F47BD0">
        <w:rPr>
          <w:b/>
          <w:bCs/>
        </w:rPr>
        <w:t>Povinnosti příkazníka</w:t>
      </w:r>
    </w:p>
    <w:p w:rsidR="002E7314" w:rsidRPr="009E0677" w:rsidRDefault="002E7314" w:rsidP="00F47BD0">
      <w:pPr>
        <w:spacing w:after="0"/>
      </w:pPr>
    </w:p>
    <w:p w:rsidR="002E7314" w:rsidRDefault="002E7314" w:rsidP="00F47BD0">
      <w:pPr>
        <w:pStyle w:val="ListParagraph"/>
        <w:numPr>
          <w:ilvl w:val="0"/>
          <w:numId w:val="14"/>
        </w:numPr>
        <w:ind w:left="426"/>
        <w:jc w:val="both"/>
      </w:pPr>
      <w:r w:rsidRPr="009E0677">
        <w:t>Příkazník je při provádění příkazu dle této smlouvy postupovat s odbornou péčí, poctivě a pečlivě v souladu se zájmy příkazce.</w:t>
      </w:r>
      <w:r>
        <w:t xml:space="preserve"> Příkazník tímto prohlašuje, že je </w:t>
      </w:r>
      <w:r w:rsidRPr="009E0677">
        <w:t>schopen odborného výkonu v rámci předmětu plnění dle této smlouvy.</w:t>
      </w:r>
    </w:p>
    <w:p w:rsidR="002E7314" w:rsidRDefault="002E7314" w:rsidP="00F47BD0">
      <w:pPr>
        <w:pStyle w:val="ListParagraph"/>
        <w:numPr>
          <w:ilvl w:val="0"/>
          <w:numId w:val="14"/>
        </w:numPr>
        <w:ind w:left="426" w:hanging="426"/>
        <w:jc w:val="both"/>
      </w:pPr>
      <w:r w:rsidRPr="009E0677">
        <w:t xml:space="preserve">Příkazník je povinen postupovat podle pokynů příkazce, příkazník je povinen bez zbytečného odkladu oznámit příkazci všechny okolnosti, které zjistil při plnění příkazu, a které mohou mít vliv na změnu pokynů nebo zájmů příkazce. Pokyny příkazce jsou pro příkazníka závazné. Od příkazcových pokynů se příkazník může odchýlit, jen pokud je to nezbytné v zájmu příkazce a pokud příkazník nemůže včas obdržet jeho souhlas. </w:t>
      </w:r>
    </w:p>
    <w:p w:rsidR="002E7314" w:rsidRDefault="002E7314" w:rsidP="00F47BD0">
      <w:pPr>
        <w:pStyle w:val="ListParagraph"/>
        <w:numPr>
          <w:ilvl w:val="0"/>
          <w:numId w:val="14"/>
        </w:numPr>
        <w:ind w:left="426"/>
        <w:jc w:val="both"/>
      </w:pPr>
      <w:r w:rsidRPr="009E0677">
        <w:t>V případě, že pokyn příkazce je v rozporu se zákonem či jinými závaznými právními předpisy, je příkazník povinen na tuto skutečnost příkazce bez zbytečného odkladu upozornit. Jestliže by i</w:t>
      </w:r>
      <w:r>
        <w:t> </w:t>
      </w:r>
      <w:r w:rsidRPr="009E0677">
        <w:t xml:space="preserve">přes takové upozornění příkazce nadále trval na splnění daného pokynu, má příkazník právo od smlouvy odstoupit. </w:t>
      </w:r>
    </w:p>
    <w:p w:rsidR="002E7314" w:rsidRDefault="002E7314" w:rsidP="00F47BD0">
      <w:pPr>
        <w:pStyle w:val="ListParagraph"/>
        <w:numPr>
          <w:ilvl w:val="0"/>
          <w:numId w:val="14"/>
        </w:numPr>
        <w:ind w:left="426"/>
        <w:jc w:val="both"/>
      </w:pPr>
      <w:r w:rsidRPr="009E0677">
        <w:t xml:space="preserve">Příkazník je povinen provést příkaz podle této smlouvy osobně, prostřednictvím vlastních prostředků a zaměstnanců. Svěří-li příkazník i přesto provedení příkazu podle této smlouvy jinému, odpovídá, jako by příkaz prováděl sám.  </w:t>
      </w:r>
    </w:p>
    <w:p w:rsidR="002E7314" w:rsidRDefault="002E7314" w:rsidP="00F47BD0">
      <w:pPr>
        <w:pStyle w:val="ListParagraph"/>
        <w:numPr>
          <w:ilvl w:val="0"/>
          <w:numId w:val="14"/>
        </w:numPr>
        <w:ind w:left="426"/>
        <w:jc w:val="both"/>
      </w:pPr>
      <w:r w:rsidRPr="009E0677">
        <w:t>Příkazník je povinen vždy na požádání příkazce podat mu zprávy o svém postupu při plnění příkazu.</w:t>
      </w:r>
    </w:p>
    <w:p w:rsidR="002E7314" w:rsidRDefault="002E7314" w:rsidP="00F47BD0">
      <w:pPr>
        <w:pStyle w:val="ListParagraph"/>
        <w:numPr>
          <w:ilvl w:val="0"/>
          <w:numId w:val="14"/>
        </w:numPr>
        <w:ind w:left="426"/>
        <w:jc w:val="both"/>
      </w:pPr>
      <w:r w:rsidRPr="009E0677">
        <w:t xml:space="preserve">Příkazník se zavazuje, že při plnění příkazu nedojde jeho činností k porušení autorských práv či jiných práv k duševnímu či průmyslovému vlastnictví třetích osob. </w:t>
      </w:r>
    </w:p>
    <w:p w:rsidR="002E7314" w:rsidRDefault="002E7314" w:rsidP="00F47BD0">
      <w:pPr>
        <w:pStyle w:val="ListParagraph"/>
        <w:numPr>
          <w:ilvl w:val="0"/>
          <w:numId w:val="14"/>
        </w:numPr>
        <w:ind w:left="426" w:hanging="426"/>
        <w:jc w:val="both"/>
      </w:pPr>
      <w:r w:rsidRPr="009E0677">
        <w:t>Veškeré podklady a dokumenty tvořící zadávací podmínky</w:t>
      </w:r>
      <w:r>
        <w:t xml:space="preserve"> nebo zachycující průběh zadávacího řízení</w:t>
      </w:r>
      <w:r w:rsidRPr="009E0677">
        <w:t xml:space="preserve"> je příkazník povinen zabezpečit proti neoprávněnému zpřístupnění třetím osobám. Příkazník je povinen přijmout taková opatření, aby nemohlo dojít k neoprávněnému nebo nahodilému přístupu třetích subjektů k zadávacím podmínkám</w:t>
      </w:r>
      <w:r>
        <w:t xml:space="preserve"> případně dokumentům zachycujícím průběh veřejné zakázky</w:t>
      </w:r>
      <w:r w:rsidRPr="009E0677">
        <w:t>, k jejich změně, zničení či ztrátě, neoprávněným přenosům nebo k jejich jinému neoprávněnému zpracování</w:t>
      </w:r>
      <w:r>
        <w:t xml:space="preserve">. </w:t>
      </w:r>
      <w:r w:rsidRPr="009E0677">
        <w:t>Neučiní-li tak příkazník, je příkazce oprávněn od této smlouvy odstoupit.</w:t>
      </w:r>
    </w:p>
    <w:p w:rsidR="002E7314" w:rsidRDefault="002E7314" w:rsidP="00F47BD0">
      <w:pPr>
        <w:pStyle w:val="ListParagraph"/>
        <w:numPr>
          <w:ilvl w:val="0"/>
          <w:numId w:val="14"/>
        </w:numPr>
        <w:ind w:left="426"/>
        <w:jc w:val="both"/>
      </w:pPr>
      <w:r w:rsidRPr="009E0677">
        <w:t>Za škodu způsobenou ztrátou, zničením, zpřístupněním nebo jiným neoprávněným užitím zadávacích podmínek</w:t>
      </w:r>
      <w:r>
        <w:t xml:space="preserve"> případně jiných dokumentů vztahujících se k zadávacímu řízení</w:t>
      </w:r>
      <w:r w:rsidRPr="009E0677">
        <w:t xml:space="preserve"> odpovídá příkazník.</w:t>
      </w:r>
    </w:p>
    <w:p w:rsidR="002E7314" w:rsidRDefault="002E7314" w:rsidP="008377C5">
      <w:pPr>
        <w:pStyle w:val="ListParagraph"/>
        <w:numPr>
          <w:ilvl w:val="0"/>
          <w:numId w:val="14"/>
        </w:numPr>
        <w:ind w:left="426"/>
        <w:jc w:val="both"/>
      </w:pPr>
      <w:r w:rsidRPr="009E0677">
        <w:t>Příkazník je povinen zachovávat mlčenlivost o všech záležitostech, o nichž se dozvěděl v souvislosti s plněním příkazu dle této smlouvy. Příkazník použije všechny dokumenty a informace, které od příkazce obdrží, výhradně k plnění příkazu. Po ukončení plnění je příkazník povinen vrátit příkazci veškeré materiály, které od příkazce v souvislosti s plněním převzal.</w:t>
      </w:r>
    </w:p>
    <w:p w:rsidR="002E7314" w:rsidRDefault="002E7314" w:rsidP="008377C5">
      <w:pPr>
        <w:pStyle w:val="ListParagraph"/>
        <w:numPr>
          <w:ilvl w:val="0"/>
          <w:numId w:val="14"/>
        </w:numPr>
        <w:ind w:left="426"/>
        <w:jc w:val="both"/>
      </w:pPr>
      <w:r w:rsidRPr="009E0677">
        <w:t xml:space="preserve">Příkazník je povinen po celou dobu trvání této smlouvy mít uzavřenu pojistnou smlouvu, jejímž předmětem je pojištění odpovědnosti za škodu způsobenou třetí osobě s pojistným plněním alespoň </w:t>
      </w:r>
      <w:r w:rsidRPr="00AE2716">
        <w:t>80 milionů Kč</w:t>
      </w:r>
      <w:r w:rsidRPr="009E0677">
        <w:t>. Příkazník je povinen předložit kopii této smlouvy příkazci, a to na jeho žádost. Neučiní-li tak příkazník, je příkazce oprávněn od této smlouvy odstoupit.</w:t>
      </w:r>
    </w:p>
    <w:p w:rsidR="002E7314" w:rsidRDefault="002E7314" w:rsidP="008377C5">
      <w:pPr>
        <w:pStyle w:val="ListParagraph"/>
        <w:numPr>
          <w:ilvl w:val="0"/>
          <w:numId w:val="14"/>
        </w:numPr>
        <w:ind w:left="426"/>
        <w:jc w:val="both"/>
      </w:pPr>
      <w:r>
        <w:t>Příkazník je povinen veškerá jednání komisí organizovat a konat v místě sídla příkazce. V případě nutnosti osobní konzultace se příkazník dostaví do sídla příkazce.</w:t>
      </w:r>
    </w:p>
    <w:p w:rsidR="002E7314" w:rsidRPr="009E0677" w:rsidRDefault="002E7314" w:rsidP="008377C5">
      <w:pPr>
        <w:pStyle w:val="ListParagraph"/>
        <w:numPr>
          <w:ilvl w:val="0"/>
          <w:numId w:val="14"/>
        </w:numPr>
        <w:ind w:left="426"/>
        <w:jc w:val="both"/>
      </w:pPr>
      <w:r>
        <w:t>Příkazník je povinen příkazci předat veškerou dokumentaci vztahující se k zadávacím řízením, v případě, že tato nebude v originální  elektronické podobě v systému E-ZAK.</w:t>
      </w:r>
    </w:p>
    <w:p w:rsidR="002E7314" w:rsidRDefault="002E7314" w:rsidP="008377C5">
      <w:pPr>
        <w:tabs>
          <w:tab w:val="left" w:pos="705"/>
        </w:tabs>
        <w:spacing w:after="0"/>
        <w:jc w:val="center"/>
        <w:rPr>
          <w:b/>
          <w:bCs/>
        </w:rPr>
      </w:pPr>
    </w:p>
    <w:p w:rsidR="002E7314" w:rsidRDefault="002E7314" w:rsidP="008377C5">
      <w:pPr>
        <w:tabs>
          <w:tab w:val="left" w:pos="705"/>
        </w:tabs>
        <w:spacing w:after="0"/>
        <w:jc w:val="center"/>
        <w:rPr>
          <w:b/>
          <w:bCs/>
        </w:rPr>
      </w:pPr>
    </w:p>
    <w:p w:rsidR="002E7314" w:rsidRDefault="002E7314" w:rsidP="008377C5">
      <w:pPr>
        <w:tabs>
          <w:tab w:val="left" w:pos="705"/>
        </w:tabs>
        <w:spacing w:after="0"/>
        <w:jc w:val="center"/>
        <w:rPr>
          <w:b/>
          <w:bCs/>
        </w:rPr>
      </w:pPr>
    </w:p>
    <w:p w:rsidR="002E7314" w:rsidRDefault="002E7314" w:rsidP="008377C5">
      <w:pPr>
        <w:tabs>
          <w:tab w:val="left" w:pos="705"/>
        </w:tabs>
        <w:spacing w:after="0"/>
        <w:jc w:val="center"/>
        <w:rPr>
          <w:b/>
          <w:bCs/>
        </w:rPr>
      </w:pPr>
    </w:p>
    <w:p w:rsidR="002E7314" w:rsidRPr="008377C5" w:rsidRDefault="002E7314" w:rsidP="008377C5">
      <w:pPr>
        <w:tabs>
          <w:tab w:val="left" w:pos="705"/>
        </w:tabs>
        <w:spacing w:after="0"/>
        <w:jc w:val="center"/>
        <w:rPr>
          <w:b/>
          <w:bCs/>
        </w:rPr>
      </w:pPr>
      <w:r w:rsidRPr="008377C5">
        <w:rPr>
          <w:b/>
          <w:bCs/>
        </w:rPr>
        <w:t>VI.</w:t>
      </w:r>
    </w:p>
    <w:p w:rsidR="002E7314" w:rsidRDefault="002E7314" w:rsidP="00A6756C">
      <w:pPr>
        <w:spacing w:after="0"/>
        <w:jc w:val="center"/>
        <w:outlineLvl w:val="0"/>
        <w:rPr>
          <w:b/>
          <w:bCs/>
        </w:rPr>
      </w:pPr>
      <w:r w:rsidRPr="008377C5">
        <w:rPr>
          <w:b/>
          <w:bCs/>
        </w:rPr>
        <w:t>Povinnosti příkazce</w:t>
      </w:r>
    </w:p>
    <w:p w:rsidR="002E7314" w:rsidRPr="008377C5" w:rsidRDefault="002E7314" w:rsidP="008377C5">
      <w:pPr>
        <w:spacing w:after="0"/>
        <w:jc w:val="center"/>
        <w:rPr>
          <w:b/>
          <w:bCs/>
        </w:rPr>
      </w:pPr>
    </w:p>
    <w:p w:rsidR="002E7314" w:rsidRDefault="002E7314" w:rsidP="008377C5">
      <w:pPr>
        <w:pStyle w:val="ListParagraph"/>
        <w:numPr>
          <w:ilvl w:val="0"/>
          <w:numId w:val="15"/>
        </w:numPr>
        <w:ind w:left="426"/>
        <w:jc w:val="both"/>
      </w:pPr>
      <w:r w:rsidRPr="009E0677">
        <w:t>Příkazce je povinen předat příkazníkovi informace a podklady potřebné k  plnění příkazu, které má u sebe, nebo které vznikly z jeho činnosti.</w:t>
      </w:r>
    </w:p>
    <w:p w:rsidR="002E7314" w:rsidRDefault="002E7314" w:rsidP="008377C5">
      <w:pPr>
        <w:pStyle w:val="ListParagraph"/>
        <w:numPr>
          <w:ilvl w:val="0"/>
          <w:numId w:val="15"/>
        </w:numPr>
        <w:ind w:left="426"/>
        <w:jc w:val="both"/>
      </w:pPr>
      <w:r w:rsidRPr="009E0677">
        <w:t xml:space="preserve">Příkazce předá příkazníkovi technické podklady nezbytné pro vypracování zadávací dokumentace. Pokud v průběhu zadávacího řízení budou uchazeči vyžadovat doplnění nebo upřesnění týkající se technických podmínek zadávací dokumentace, je příkazce povinen zajistit součinnost zaměstnance příkazce tak, aby odpovědi na dotazy byly předány příkazníkovi nejpozději 2 pracovní dny ode dne doručení žádosti o dodatečné informace. Příkazník je pak povinen zajistit předání upřesňujících či doplňujících podkladů všem uchazečům a zájemcům o veřejnou zakázku. </w:t>
      </w:r>
    </w:p>
    <w:p w:rsidR="002E7314" w:rsidRDefault="002E7314" w:rsidP="008377C5">
      <w:pPr>
        <w:pStyle w:val="ListParagraph"/>
        <w:numPr>
          <w:ilvl w:val="0"/>
          <w:numId w:val="15"/>
        </w:numPr>
        <w:ind w:left="426"/>
        <w:jc w:val="both"/>
      </w:pPr>
      <w:r w:rsidRPr="009E0677">
        <w:t>Pokud z podmínek zadávacího či výběrového řízení vyplyne potřeba prohlídky místa budoucího plnění je příkazce povinen organizačně zajistit prohlídku místa budoucího plnění v termínu stanoveném zadávací dokumentací. Prohlídek místa budoucího plnění je příkazník povinen se účastnit pokud toto bude příkazce vyžadovat. Účast na prohlídce místa budoucího plnění, jakož i náklady s účastí spojené jsou zahrnuty v odměně příkazníka.</w:t>
      </w:r>
    </w:p>
    <w:p w:rsidR="002E7314" w:rsidRPr="009E0677" w:rsidRDefault="002E7314" w:rsidP="008377C5">
      <w:pPr>
        <w:pStyle w:val="ListParagraph"/>
        <w:numPr>
          <w:ilvl w:val="0"/>
          <w:numId w:val="15"/>
        </w:numPr>
        <w:ind w:left="426"/>
        <w:jc w:val="both"/>
      </w:pPr>
      <w:r w:rsidRPr="009E0677">
        <w:t xml:space="preserve">Obdrží-li příkazce jakýkoliv dokument vztahující se k zadání veřejné zakázky, je povinen jej nebo jeho kopii bezodkladně poskytnout příkazníkovi. </w:t>
      </w:r>
    </w:p>
    <w:p w:rsidR="002E7314" w:rsidRPr="009E0677" w:rsidRDefault="002E7314" w:rsidP="00E56018">
      <w:pPr>
        <w:spacing w:after="120"/>
        <w:jc w:val="both"/>
      </w:pPr>
    </w:p>
    <w:p w:rsidR="002E7314" w:rsidRPr="00A83D81" w:rsidRDefault="002E7314" w:rsidP="00A83D81">
      <w:pPr>
        <w:spacing w:after="0"/>
        <w:jc w:val="center"/>
        <w:rPr>
          <w:b/>
          <w:bCs/>
        </w:rPr>
      </w:pPr>
      <w:r w:rsidRPr="00A83D81">
        <w:rPr>
          <w:b/>
          <w:bCs/>
        </w:rPr>
        <w:t>VII.</w:t>
      </w:r>
    </w:p>
    <w:p w:rsidR="002E7314" w:rsidRPr="00A83D81" w:rsidRDefault="002E7314" w:rsidP="00A6756C">
      <w:pPr>
        <w:spacing w:after="0"/>
        <w:jc w:val="center"/>
        <w:outlineLvl w:val="0"/>
        <w:rPr>
          <w:b/>
          <w:bCs/>
        </w:rPr>
      </w:pPr>
      <w:r w:rsidRPr="00A83D81">
        <w:rPr>
          <w:b/>
          <w:bCs/>
        </w:rPr>
        <w:t>Odpovědnost za vady a sankce</w:t>
      </w:r>
    </w:p>
    <w:p w:rsidR="002E7314" w:rsidRDefault="002E7314" w:rsidP="00A83D81">
      <w:pPr>
        <w:spacing w:after="0"/>
        <w:jc w:val="both"/>
      </w:pPr>
    </w:p>
    <w:p w:rsidR="002E7314" w:rsidRDefault="002E7314" w:rsidP="00A83D81">
      <w:pPr>
        <w:pStyle w:val="ListParagraph"/>
        <w:numPr>
          <w:ilvl w:val="0"/>
          <w:numId w:val="16"/>
        </w:numPr>
        <w:ind w:left="426"/>
        <w:jc w:val="both"/>
      </w:pPr>
      <w:r w:rsidRPr="009E0677">
        <w:t>Příkazník odpovídá za způsobenou škodu vzniklou při plnění příkazu příkazci, nebyla-li škoda způsobena jednáním příkazce.</w:t>
      </w:r>
    </w:p>
    <w:p w:rsidR="002E7314" w:rsidRDefault="002E7314" w:rsidP="00A83D81">
      <w:pPr>
        <w:pStyle w:val="ListParagraph"/>
        <w:numPr>
          <w:ilvl w:val="0"/>
          <w:numId w:val="16"/>
        </w:numPr>
        <w:ind w:left="426"/>
        <w:jc w:val="both"/>
      </w:pPr>
      <w:r w:rsidRPr="009E0677">
        <w:t>Příkazník odpovídá za bezvadnost plnění příkazu, případné vady plnění je povinen bezplatně odstranit bez zbytečného odkladu.</w:t>
      </w:r>
    </w:p>
    <w:p w:rsidR="002E7314" w:rsidRPr="006E1A96" w:rsidRDefault="002E7314" w:rsidP="00865A10">
      <w:pPr>
        <w:pStyle w:val="ListParagraph"/>
        <w:numPr>
          <w:ilvl w:val="0"/>
          <w:numId w:val="16"/>
        </w:numPr>
        <w:ind w:left="426"/>
        <w:jc w:val="both"/>
      </w:pPr>
      <w:r>
        <w:t>V</w:t>
      </w:r>
      <w:r w:rsidRPr="00224678">
        <w:t xml:space="preserve"> případě udělení majetkové sankce Úřadem pro ochranu hospodářské soutěže</w:t>
      </w:r>
      <w:r>
        <w:t xml:space="preserve"> nebo jiným orgánem, zejména poskytovatelem dotace</w:t>
      </w:r>
      <w:r w:rsidRPr="00224678">
        <w:t xml:space="preserve">, pokud byla uložena v souvislosti s činností příkazníka, jde tato sankce v plné výši k tíži příkazníka. </w:t>
      </w:r>
      <w:r w:rsidRPr="006E1A96">
        <w:t>Za sankci se považuje i krácení či korekce dotace v důsledku pochybení příkazníka.</w:t>
      </w:r>
    </w:p>
    <w:p w:rsidR="002E7314" w:rsidRPr="009E0677" w:rsidRDefault="002E7314" w:rsidP="009C6AAF">
      <w:pPr>
        <w:ind w:left="426" w:hanging="426"/>
        <w:jc w:val="both"/>
      </w:pPr>
      <w:r>
        <w:t xml:space="preserve">4.  </w:t>
      </w:r>
      <w:r>
        <w:tab/>
      </w:r>
      <w:r w:rsidRPr="009E0677">
        <w:t xml:space="preserve">Jestliže příkazník </w:t>
      </w:r>
      <w:r>
        <w:t>nedodrží termíny stanovené příkazcem dle  čl. IV. odst. 2 této smlouvy (odevzdání zadávacích podmínek a zahájení zadávacího řízení, z důvodů ležících na straně příkazníka</w:t>
      </w:r>
      <w:r w:rsidRPr="009E0677">
        <w:t xml:space="preserve">, je </w:t>
      </w:r>
      <w:r>
        <w:t xml:space="preserve"> příkazník </w:t>
      </w:r>
      <w:r w:rsidRPr="009E0677">
        <w:t xml:space="preserve">povinen příkazci zaplatit smluvní pokutu ve výši </w:t>
      </w:r>
      <w:r>
        <w:t>5</w:t>
      </w:r>
      <w:r w:rsidRPr="009E0677">
        <w:t>00 Kč za každý i</w:t>
      </w:r>
      <w:r>
        <w:t> </w:t>
      </w:r>
      <w:r w:rsidRPr="009E0677">
        <w:t>započatý den prodlení.</w:t>
      </w:r>
    </w:p>
    <w:p w:rsidR="002E7314" w:rsidRPr="009E0677" w:rsidRDefault="002E7314" w:rsidP="00FB287F">
      <w:pPr>
        <w:ind w:left="426" w:hanging="426"/>
        <w:jc w:val="both"/>
      </w:pPr>
      <w:r>
        <w:t xml:space="preserve">5. </w:t>
      </w:r>
      <w:r>
        <w:tab/>
      </w:r>
      <w:r w:rsidRPr="009E0677">
        <w:t xml:space="preserve">Jestliže příkazník poruší povinnost stanovenou mu v čl. V. odst. </w:t>
      </w:r>
      <w:r>
        <w:t>7</w:t>
      </w:r>
      <w:r w:rsidRPr="009E0677">
        <w:t xml:space="preserve"> této smlouvy, je povinen příkazci zaplatit smluvní pokutu ve výši </w:t>
      </w:r>
      <w:r>
        <w:t xml:space="preserve">5.000 </w:t>
      </w:r>
      <w:r w:rsidRPr="009E0677">
        <w:t>Kč za každý případ zjištěného porušení takovéto povinnosti.</w:t>
      </w:r>
    </w:p>
    <w:p w:rsidR="002E7314" w:rsidRPr="009E0677" w:rsidRDefault="002E7314" w:rsidP="002A5A6C">
      <w:pPr>
        <w:ind w:left="426" w:hanging="426"/>
        <w:jc w:val="both"/>
      </w:pPr>
      <w:r>
        <w:t xml:space="preserve">6. </w:t>
      </w:r>
      <w:r>
        <w:tab/>
      </w:r>
      <w:r w:rsidRPr="009E0677">
        <w:t xml:space="preserve">Jestliže příkazník poruší povinnost stanovenou mu v čl. V. odst. 9 této smlouvy, je povinen příkazci zaplatit smluvní pokutu ve výši </w:t>
      </w:r>
      <w:r>
        <w:t>5.000</w:t>
      </w:r>
      <w:r w:rsidRPr="009E0677">
        <w:t xml:space="preserve"> Kč za každý případ zjištěného porušení takovéto povinnosti.</w:t>
      </w:r>
    </w:p>
    <w:p w:rsidR="002E7314" w:rsidRPr="009E0677" w:rsidRDefault="002E7314" w:rsidP="002A5A6C">
      <w:pPr>
        <w:ind w:left="284" w:hanging="284"/>
        <w:jc w:val="both"/>
      </w:pPr>
      <w:r>
        <w:t xml:space="preserve">7. </w:t>
      </w:r>
      <w:r>
        <w:tab/>
      </w:r>
      <w:r w:rsidRPr="009E0677">
        <w:t>Uplatněním smluvní pokuty není dotčeno právo na náhradu škody. Náhrada škody je vymahatelná v plném rozsahu vedle smluvní pokuty.</w:t>
      </w:r>
    </w:p>
    <w:p w:rsidR="002E7314" w:rsidRPr="00A93B2B" w:rsidRDefault="002E7314" w:rsidP="00A93B2B">
      <w:pPr>
        <w:spacing w:after="0"/>
        <w:jc w:val="center"/>
        <w:rPr>
          <w:b/>
          <w:bCs/>
        </w:rPr>
      </w:pPr>
    </w:p>
    <w:p w:rsidR="002E7314" w:rsidRPr="00A93B2B" w:rsidRDefault="002E7314" w:rsidP="00A93B2B">
      <w:pPr>
        <w:spacing w:after="0"/>
        <w:jc w:val="center"/>
        <w:rPr>
          <w:b/>
          <w:bCs/>
        </w:rPr>
      </w:pPr>
      <w:r>
        <w:rPr>
          <w:b/>
          <w:bCs/>
        </w:rPr>
        <w:t>VIII</w:t>
      </w:r>
      <w:r w:rsidRPr="00A93B2B">
        <w:rPr>
          <w:b/>
          <w:bCs/>
        </w:rPr>
        <w:t>.</w:t>
      </w:r>
    </w:p>
    <w:p w:rsidR="002E7314" w:rsidRDefault="002E7314" w:rsidP="00A6756C">
      <w:pPr>
        <w:spacing w:after="0"/>
        <w:jc w:val="center"/>
        <w:outlineLvl w:val="0"/>
        <w:rPr>
          <w:b/>
          <w:bCs/>
        </w:rPr>
      </w:pPr>
      <w:r w:rsidRPr="00A93B2B">
        <w:rPr>
          <w:b/>
          <w:bCs/>
        </w:rPr>
        <w:t>Ukončení smluvního vztahu</w:t>
      </w:r>
    </w:p>
    <w:p w:rsidR="002E7314" w:rsidRPr="00A93B2B" w:rsidRDefault="002E7314" w:rsidP="00A93B2B">
      <w:pPr>
        <w:spacing w:after="0"/>
        <w:jc w:val="center"/>
        <w:rPr>
          <w:b/>
          <w:bCs/>
        </w:rPr>
      </w:pPr>
    </w:p>
    <w:p w:rsidR="002E7314" w:rsidRPr="009E0677" w:rsidRDefault="002E7314" w:rsidP="00A6756C">
      <w:pPr>
        <w:ind w:left="426" w:hanging="426"/>
        <w:jc w:val="both"/>
        <w:outlineLvl w:val="0"/>
      </w:pPr>
      <w:r>
        <w:t xml:space="preserve">1. </w:t>
      </w:r>
      <w:r>
        <w:tab/>
      </w:r>
      <w:r w:rsidRPr="009E0677">
        <w:t xml:space="preserve">Tento smluvní vztah může být </w:t>
      </w:r>
      <w:r>
        <w:t xml:space="preserve">před řádným splněním příkazu </w:t>
      </w:r>
      <w:r w:rsidRPr="009E0677">
        <w:t xml:space="preserve">ukončen v těchto případech: </w:t>
      </w:r>
    </w:p>
    <w:p w:rsidR="002E7314" w:rsidRPr="009E0677" w:rsidRDefault="002E7314" w:rsidP="00D325BA">
      <w:pPr>
        <w:spacing w:after="0"/>
        <w:jc w:val="both"/>
      </w:pPr>
      <w:r w:rsidRPr="009E0677">
        <w:t xml:space="preserve">a) </w:t>
      </w:r>
      <w:r w:rsidRPr="009E0677">
        <w:tab/>
        <w:t>oboustrannou písemnou dohodou ke dni uvedenému v této dohodě,</w:t>
      </w:r>
    </w:p>
    <w:p w:rsidR="002E7314" w:rsidRPr="009E0677" w:rsidRDefault="002E7314" w:rsidP="00D325BA">
      <w:pPr>
        <w:spacing w:after="0"/>
        <w:jc w:val="both"/>
      </w:pPr>
      <w:r w:rsidRPr="009E0677">
        <w:t xml:space="preserve">b) </w:t>
      </w:r>
      <w:r w:rsidRPr="009E0677">
        <w:tab/>
        <w:t>písemnou vý</w:t>
      </w:r>
      <w:r>
        <w:t>povědí příkazce nebo příkazníka,</w:t>
      </w:r>
    </w:p>
    <w:p w:rsidR="002E7314" w:rsidRDefault="002E7314" w:rsidP="00D325BA">
      <w:pPr>
        <w:spacing w:after="0"/>
        <w:jc w:val="both"/>
      </w:pPr>
      <w:r w:rsidRPr="009E0677">
        <w:t>c)</w:t>
      </w:r>
      <w:r w:rsidRPr="009E0677">
        <w:tab/>
        <w:t>odstoupením od smlouvy, a to v případech stanovených zákonem nebo touto smlouvou</w:t>
      </w:r>
      <w:r>
        <w:t>,</w:t>
      </w:r>
    </w:p>
    <w:p w:rsidR="002E7314" w:rsidRPr="009E0677" w:rsidRDefault="002E7314" w:rsidP="00D325BA">
      <w:pPr>
        <w:spacing w:after="0"/>
        <w:jc w:val="both"/>
      </w:pPr>
      <w:r>
        <w:t xml:space="preserve">d) </w:t>
      </w:r>
      <w:r>
        <w:tab/>
        <w:t>odvoláním příkazu příkazníkem.</w:t>
      </w:r>
    </w:p>
    <w:p w:rsidR="002E7314" w:rsidRPr="009E0677" w:rsidRDefault="002E7314" w:rsidP="00F47BD0">
      <w:pPr>
        <w:jc w:val="both"/>
      </w:pPr>
    </w:p>
    <w:p w:rsidR="002E7314" w:rsidRPr="009E0677" w:rsidRDefault="002E7314" w:rsidP="00A6756C">
      <w:pPr>
        <w:ind w:left="426" w:hanging="426"/>
        <w:jc w:val="both"/>
        <w:outlineLvl w:val="0"/>
      </w:pPr>
      <w:r>
        <w:t xml:space="preserve">2. </w:t>
      </w:r>
      <w:r>
        <w:tab/>
      </w:r>
      <w:r w:rsidRPr="009E0677">
        <w:t>Při ukončení smluvního vztahu je příkazník povinen zařídit vše, co nesnese odkladu, pokud příkazce neprojeví jinou vůli.</w:t>
      </w:r>
    </w:p>
    <w:p w:rsidR="002E7314" w:rsidRDefault="002E7314" w:rsidP="002A5A6C">
      <w:pPr>
        <w:jc w:val="center"/>
      </w:pPr>
    </w:p>
    <w:p w:rsidR="002E7314" w:rsidRPr="002A5A6C" w:rsidRDefault="002E7314" w:rsidP="002A5A6C">
      <w:pPr>
        <w:spacing w:after="0"/>
        <w:jc w:val="center"/>
        <w:rPr>
          <w:b/>
          <w:bCs/>
        </w:rPr>
      </w:pPr>
      <w:r>
        <w:rPr>
          <w:b/>
          <w:bCs/>
        </w:rPr>
        <w:t>I</w:t>
      </w:r>
      <w:r w:rsidRPr="002A5A6C">
        <w:rPr>
          <w:b/>
          <w:bCs/>
        </w:rPr>
        <w:t>X.</w:t>
      </w:r>
    </w:p>
    <w:p w:rsidR="002E7314" w:rsidRPr="002A5A6C" w:rsidRDefault="002E7314" w:rsidP="00A6756C">
      <w:pPr>
        <w:spacing w:after="0"/>
        <w:jc w:val="center"/>
        <w:outlineLvl w:val="0"/>
        <w:rPr>
          <w:b/>
          <w:bCs/>
        </w:rPr>
      </w:pPr>
      <w:r w:rsidRPr="002A5A6C">
        <w:rPr>
          <w:b/>
          <w:bCs/>
        </w:rPr>
        <w:t>Závěrečná ustanovení</w:t>
      </w:r>
    </w:p>
    <w:p w:rsidR="002E7314" w:rsidRPr="009E0677" w:rsidRDefault="002E7314" w:rsidP="00F47BD0">
      <w:pPr>
        <w:jc w:val="both"/>
      </w:pPr>
    </w:p>
    <w:p w:rsidR="002E7314" w:rsidRDefault="002E7314" w:rsidP="00D325BA">
      <w:pPr>
        <w:pStyle w:val="ListParagraph"/>
        <w:numPr>
          <w:ilvl w:val="0"/>
          <w:numId w:val="17"/>
        </w:numPr>
        <w:ind w:left="426"/>
        <w:jc w:val="both"/>
      </w:pPr>
      <w:r w:rsidRPr="009E0677">
        <w:t>Smluvní strany prohlašují, že tato smlouva byla sepsána na základě jejich pravé a svobodné vůle, nikoliv v tísni ani za jinak nápadně nevýhodných podmínek.</w:t>
      </w:r>
    </w:p>
    <w:p w:rsidR="002E7314" w:rsidRPr="009E0677" w:rsidRDefault="002E7314" w:rsidP="00D325BA">
      <w:pPr>
        <w:pStyle w:val="ListParagraph"/>
        <w:ind w:left="426"/>
        <w:jc w:val="both"/>
      </w:pPr>
    </w:p>
    <w:p w:rsidR="002E7314" w:rsidRDefault="002E7314" w:rsidP="00D325BA">
      <w:pPr>
        <w:pStyle w:val="ListParagraph"/>
        <w:numPr>
          <w:ilvl w:val="0"/>
          <w:numId w:val="17"/>
        </w:numPr>
        <w:ind w:left="426"/>
        <w:jc w:val="both"/>
      </w:pPr>
      <w:r w:rsidRPr="009E0677">
        <w:t>Vztahy neupravené touto smlouvou se řídí příslušnými ustanoveními zákona č. 89/2012 Sb., občanského zákoníku.</w:t>
      </w:r>
    </w:p>
    <w:p w:rsidR="002E7314" w:rsidRDefault="002E7314" w:rsidP="00D325BA">
      <w:pPr>
        <w:pStyle w:val="ListParagraph"/>
        <w:numPr>
          <w:ilvl w:val="0"/>
          <w:numId w:val="17"/>
        </w:numPr>
        <w:ind w:left="426"/>
        <w:jc w:val="both"/>
      </w:pPr>
      <w:r w:rsidRPr="009E0677">
        <w:t>Tato smlouva je vyhotovena ve čtyřech vyhotoveních, z nichž každá strana obdrží dvě vyhotovení.</w:t>
      </w:r>
    </w:p>
    <w:p w:rsidR="002E7314" w:rsidRDefault="002E7314" w:rsidP="00D325BA">
      <w:pPr>
        <w:pStyle w:val="ListParagraph"/>
        <w:numPr>
          <w:ilvl w:val="0"/>
          <w:numId w:val="17"/>
        </w:numPr>
        <w:ind w:left="426"/>
        <w:jc w:val="both"/>
      </w:pPr>
      <w:r>
        <w:t>S</w:t>
      </w:r>
      <w:r w:rsidRPr="009E0677">
        <w:t xml:space="preserve">mlouva může být měněna pouze písemným číslovaným dodatkem, vypracovaným na základě dohody smluvních stran. </w:t>
      </w:r>
    </w:p>
    <w:p w:rsidR="002E7314" w:rsidRDefault="002E7314" w:rsidP="00D325BA">
      <w:pPr>
        <w:pStyle w:val="ListParagraph"/>
        <w:numPr>
          <w:ilvl w:val="0"/>
          <w:numId w:val="17"/>
        </w:numPr>
        <w:ind w:left="426"/>
        <w:jc w:val="both"/>
      </w:pPr>
      <w:r>
        <w:t>Tato smlouva nabývá platnosti dnem podpisu obou smluvních stran a účinnosti dnem uveřejnění v registru smluv dle zákona č. 340/2015 Sb., smlouvu zašle správci registru smluv k uveřejnění příkazce.</w:t>
      </w:r>
    </w:p>
    <w:p w:rsidR="002E7314" w:rsidRDefault="002E7314" w:rsidP="00197CAF">
      <w:pPr>
        <w:pStyle w:val="ListParagraph"/>
        <w:ind w:left="66"/>
        <w:jc w:val="both"/>
      </w:pPr>
    </w:p>
    <w:p w:rsidR="002E7314" w:rsidRPr="002A5A6C" w:rsidRDefault="002E7314" w:rsidP="002A5A6C">
      <w:r w:rsidRPr="002A5A6C">
        <w:t xml:space="preserve">Ve </w:t>
      </w:r>
      <w:r>
        <w:t>................................</w:t>
      </w:r>
      <w:r w:rsidRPr="002A5A6C">
        <w:t xml:space="preserve"> dne ………</w:t>
      </w:r>
      <w:r w:rsidRPr="002A5A6C">
        <w:tab/>
      </w:r>
      <w:r w:rsidRPr="002A5A6C">
        <w:tab/>
        <w:t xml:space="preserve">     Ve ……………………………………. dne ………</w:t>
      </w:r>
    </w:p>
    <w:p w:rsidR="002E7314" w:rsidRPr="002A5A6C" w:rsidRDefault="002E7314" w:rsidP="002A5A6C"/>
    <w:p w:rsidR="002E7314" w:rsidRPr="002A5A6C" w:rsidRDefault="002E7314" w:rsidP="002A5A6C">
      <w:r w:rsidRPr="002A5A6C">
        <w:t>...........................................................</w:t>
      </w:r>
      <w:r w:rsidRPr="002A5A6C">
        <w:tab/>
      </w:r>
      <w:r w:rsidRPr="002A5A6C">
        <w:tab/>
        <w:t xml:space="preserve">       ...........................................................</w:t>
      </w:r>
    </w:p>
    <w:p w:rsidR="002E7314" w:rsidRPr="009E0677" w:rsidRDefault="002E7314" w:rsidP="00197CAF">
      <w:r w:rsidRPr="002A5A6C">
        <w:t>za příkazce</w:t>
      </w:r>
      <w:r w:rsidRPr="002A5A6C">
        <w:tab/>
      </w:r>
      <w:r w:rsidRPr="002A5A6C">
        <w:tab/>
      </w:r>
      <w:r w:rsidRPr="002A5A6C">
        <w:tab/>
      </w:r>
      <w:r w:rsidRPr="002A5A6C">
        <w:tab/>
      </w:r>
      <w:r w:rsidRPr="002A5A6C">
        <w:tab/>
        <w:t xml:space="preserve">      </w:t>
      </w:r>
      <w:r w:rsidRPr="002A5A6C">
        <w:tab/>
        <w:t xml:space="preserve">       za příkazníka</w:t>
      </w:r>
    </w:p>
    <w:sectPr w:rsidR="002E7314" w:rsidRPr="009E0677" w:rsidSect="005E140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314" w:rsidRDefault="002E7314" w:rsidP="009E0677">
      <w:pPr>
        <w:spacing w:after="0" w:line="240" w:lineRule="auto"/>
      </w:pPr>
      <w:r>
        <w:separator/>
      </w:r>
    </w:p>
  </w:endnote>
  <w:endnote w:type="continuationSeparator" w:id="0">
    <w:p w:rsidR="002E7314" w:rsidRDefault="002E7314" w:rsidP="009E0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314" w:rsidRDefault="002E7314">
    <w:pPr>
      <w:pStyle w:val="Footer"/>
      <w:jc w:val="center"/>
    </w:pPr>
    <w:r>
      <w:rPr>
        <w:noProof/>
      </w:rPr>
      <w:fldChar w:fldCharType="begin"/>
    </w:r>
    <w:r>
      <w:rPr>
        <w:noProof/>
      </w:rPr>
      <w:instrText>PAGE   \* MERGEFORMAT</w:instrText>
    </w:r>
    <w:r>
      <w:rPr>
        <w:noProof/>
      </w:rPr>
      <w:fldChar w:fldCharType="separate"/>
    </w:r>
    <w:r>
      <w:rPr>
        <w:noProof/>
      </w:rPr>
      <w:t>5</w:t>
    </w:r>
    <w:r>
      <w:rPr>
        <w:noProof/>
      </w:rPr>
      <w:fldChar w:fldCharType="end"/>
    </w:r>
  </w:p>
  <w:p w:rsidR="002E7314" w:rsidRDefault="002E73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314" w:rsidRDefault="002E7314" w:rsidP="009E0677">
      <w:pPr>
        <w:spacing w:after="0" w:line="240" w:lineRule="auto"/>
      </w:pPr>
      <w:r>
        <w:separator/>
      </w:r>
    </w:p>
  </w:footnote>
  <w:footnote w:type="continuationSeparator" w:id="0">
    <w:p w:rsidR="002E7314" w:rsidRDefault="002E7314" w:rsidP="009E06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2CD"/>
    <w:multiLevelType w:val="hybridMultilevel"/>
    <w:tmpl w:val="249CE044"/>
    <w:lvl w:ilvl="0" w:tplc="0BAE5F36">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27276E4"/>
    <w:multiLevelType w:val="hybridMultilevel"/>
    <w:tmpl w:val="8C90E3B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3D644F2"/>
    <w:multiLevelType w:val="hybridMultilevel"/>
    <w:tmpl w:val="621ADA7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496283A"/>
    <w:multiLevelType w:val="hybridMultilevel"/>
    <w:tmpl w:val="C83C24C6"/>
    <w:lvl w:ilvl="0" w:tplc="FFFFFFF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BCE07DC"/>
    <w:multiLevelType w:val="hybridMultilevel"/>
    <w:tmpl w:val="B89A7E4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0BDF2051"/>
    <w:multiLevelType w:val="hybridMultilevel"/>
    <w:tmpl w:val="BBFEA4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8E5430A"/>
    <w:multiLevelType w:val="hybridMultilevel"/>
    <w:tmpl w:val="59E61F6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nsid w:val="1A777823"/>
    <w:multiLevelType w:val="hybridMultilevel"/>
    <w:tmpl w:val="346EE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A962F53"/>
    <w:multiLevelType w:val="hybridMultilevel"/>
    <w:tmpl w:val="98CC2E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77E4E3A"/>
    <w:multiLevelType w:val="hybridMultilevel"/>
    <w:tmpl w:val="43627E22"/>
    <w:lvl w:ilvl="0" w:tplc="6C50C958">
      <w:start w:val="1"/>
      <w:numFmt w:val="decimal"/>
      <w:lvlText w:val="%1."/>
      <w:lvlJc w:val="left"/>
      <w:pPr>
        <w:ind w:left="644"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nsid w:val="2D1C42E6"/>
    <w:multiLevelType w:val="hybridMultilevel"/>
    <w:tmpl w:val="173E26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30B53B49"/>
    <w:multiLevelType w:val="hybridMultilevel"/>
    <w:tmpl w:val="A8EE27FE"/>
    <w:lvl w:ilvl="0" w:tplc="825479B8">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3EED563B"/>
    <w:multiLevelType w:val="hybridMultilevel"/>
    <w:tmpl w:val="41A602FE"/>
    <w:lvl w:ilvl="0" w:tplc="31EEE9AE">
      <w:start w:val="1"/>
      <w:numFmt w:val="decimal"/>
      <w:lvlText w:val="%1."/>
      <w:lvlJc w:val="left"/>
      <w:pPr>
        <w:ind w:left="502" w:hanging="360"/>
      </w:pPr>
      <w:rPr>
        <w:rFonts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4D6E4159"/>
    <w:multiLevelType w:val="hybridMultilevel"/>
    <w:tmpl w:val="0996297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547B40D6"/>
    <w:multiLevelType w:val="hybridMultilevel"/>
    <w:tmpl w:val="B826101E"/>
    <w:lvl w:ilvl="0" w:tplc="8F30915E">
      <w:start w:val="1"/>
      <w:numFmt w:val="decimal"/>
      <w:lvlText w:val="%1."/>
      <w:lvlJc w:val="left"/>
      <w:pPr>
        <w:ind w:left="360" w:hanging="360"/>
      </w:pPr>
      <w:rPr>
        <w:rFonts w:hint="default"/>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54A9134D"/>
    <w:multiLevelType w:val="hybridMultilevel"/>
    <w:tmpl w:val="333E17A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nsid w:val="585C05A7"/>
    <w:multiLevelType w:val="hybridMultilevel"/>
    <w:tmpl w:val="97EA8D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7A061638"/>
    <w:multiLevelType w:val="hybridMultilevel"/>
    <w:tmpl w:val="2DCC6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15"/>
  </w:num>
  <w:num w:numId="4">
    <w:abstractNumId w:val="6"/>
  </w:num>
  <w:num w:numId="5">
    <w:abstractNumId w:val="8"/>
  </w:num>
  <w:num w:numId="6">
    <w:abstractNumId w:val="13"/>
  </w:num>
  <w:num w:numId="7">
    <w:abstractNumId w:val="0"/>
  </w:num>
  <w:num w:numId="8">
    <w:abstractNumId w:val="12"/>
  </w:num>
  <w:num w:numId="9">
    <w:abstractNumId w:val="9"/>
  </w:num>
  <w:num w:numId="10">
    <w:abstractNumId w:val="7"/>
  </w:num>
  <w:num w:numId="11">
    <w:abstractNumId w:val="3"/>
  </w:num>
  <w:num w:numId="12">
    <w:abstractNumId w:val="17"/>
  </w:num>
  <w:num w:numId="13">
    <w:abstractNumId w:val="11"/>
  </w:num>
  <w:num w:numId="14">
    <w:abstractNumId w:val="4"/>
  </w:num>
  <w:num w:numId="15">
    <w:abstractNumId w:val="1"/>
  </w:num>
  <w:num w:numId="16">
    <w:abstractNumId w:val="16"/>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EF7"/>
    <w:rsid w:val="00011A36"/>
    <w:rsid w:val="000305C2"/>
    <w:rsid w:val="00033AB9"/>
    <w:rsid w:val="00092189"/>
    <w:rsid w:val="000B62A4"/>
    <w:rsid w:val="000D3A07"/>
    <w:rsid w:val="000D56B9"/>
    <w:rsid w:val="000F05ED"/>
    <w:rsid w:val="00107063"/>
    <w:rsid w:val="00160ED3"/>
    <w:rsid w:val="00190A1B"/>
    <w:rsid w:val="00197CAF"/>
    <w:rsid w:val="001A105A"/>
    <w:rsid w:val="001C7DA4"/>
    <w:rsid w:val="0020262F"/>
    <w:rsid w:val="00224678"/>
    <w:rsid w:val="00235DB0"/>
    <w:rsid w:val="00245984"/>
    <w:rsid w:val="00273EAC"/>
    <w:rsid w:val="0027439C"/>
    <w:rsid w:val="00274677"/>
    <w:rsid w:val="00274F4B"/>
    <w:rsid w:val="002A5A6C"/>
    <w:rsid w:val="002B379A"/>
    <w:rsid w:val="002C2ED7"/>
    <w:rsid w:val="002E7314"/>
    <w:rsid w:val="00307243"/>
    <w:rsid w:val="0031450A"/>
    <w:rsid w:val="00346D64"/>
    <w:rsid w:val="003506B7"/>
    <w:rsid w:val="00395AFE"/>
    <w:rsid w:val="003D1E40"/>
    <w:rsid w:val="00402A70"/>
    <w:rsid w:val="0040367F"/>
    <w:rsid w:val="00407B41"/>
    <w:rsid w:val="00426080"/>
    <w:rsid w:val="00436B74"/>
    <w:rsid w:val="00450EC5"/>
    <w:rsid w:val="00453A07"/>
    <w:rsid w:val="00460C9D"/>
    <w:rsid w:val="005042FA"/>
    <w:rsid w:val="005155B2"/>
    <w:rsid w:val="00520E85"/>
    <w:rsid w:val="00542BE8"/>
    <w:rsid w:val="00547EA7"/>
    <w:rsid w:val="00552BE2"/>
    <w:rsid w:val="005920F3"/>
    <w:rsid w:val="005D7EF0"/>
    <w:rsid w:val="005E1400"/>
    <w:rsid w:val="005E6E54"/>
    <w:rsid w:val="00622594"/>
    <w:rsid w:val="006373EF"/>
    <w:rsid w:val="0067264A"/>
    <w:rsid w:val="0067265B"/>
    <w:rsid w:val="0068161B"/>
    <w:rsid w:val="006B78A5"/>
    <w:rsid w:val="006C2D58"/>
    <w:rsid w:val="006E1A96"/>
    <w:rsid w:val="0071171E"/>
    <w:rsid w:val="00711720"/>
    <w:rsid w:val="00750303"/>
    <w:rsid w:val="00787850"/>
    <w:rsid w:val="007A6D32"/>
    <w:rsid w:val="007F2AF8"/>
    <w:rsid w:val="007F5E64"/>
    <w:rsid w:val="00811ED1"/>
    <w:rsid w:val="008377C5"/>
    <w:rsid w:val="00865A10"/>
    <w:rsid w:val="00872B4B"/>
    <w:rsid w:val="00882B24"/>
    <w:rsid w:val="008846BF"/>
    <w:rsid w:val="008B2E55"/>
    <w:rsid w:val="008E489E"/>
    <w:rsid w:val="008E6568"/>
    <w:rsid w:val="008F6E16"/>
    <w:rsid w:val="009241A1"/>
    <w:rsid w:val="00937088"/>
    <w:rsid w:val="00937C30"/>
    <w:rsid w:val="0095583C"/>
    <w:rsid w:val="009567BB"/>
    <w:rsid w:val="009C6AAF"/>
    <w:rsid w:val="009E0677"/>
    <w:rsid w:val="009F35CA"/>
    <w:rsid w:val="00A0050D"/>
    <w:rsid w:val="00A3115E"/>
    <w:rsid w:val="00A4354B"/>
    <w:rsid w:val="00A51483"/>
    <w:rsid w:val="00A61E95"/>
    <w:rsid w:val="00A6756C"/>
    <w:rsid w:val="00A83D81"/>
    <w:rsid w:val="00A93B2B"/>
    <w:rsid w:val="00AA0C9D"/>
    <w:rsid w:val="00AA445E"/>
    <w:rsid w:val="00AB1463"/>
    <w:rsid w:val="00AC6295"/>
    <w:rsid w:val="00AC6C4B"/>
    <w:rsid w:val="00AD1606"/>
    <w:rsid w:val="00AE2716"/>
    <w:rsid w:val="00AF138F"/>
    <w:rsid w:val="00AF4B83"/>
    <w:rsid w:val="00AF6836"/>
    <w:rsid w:val="00B02D45"/>
    <w:rsid w:val="00B06E5A"/>
    <w:rsid w:val="00B07EF7"/>
    <w:rsid w:val="00B17B31"/>
    <w:rsid w:val="00B32EB8"/>
    <w:rsid w:val="00B372C0"/>
    <w:rsid w:val="00B52E3A"/>
    <w:rsid w:val="00B77F1D"/>
    <w:rsid w:val="00B93A00"/>
    <w:rsid w:val="00BA1547"/>
    <w:rsid w:val="00BE3C9A"/>
    <w:rsid w:val="00C032FF"/>
    <w:rsid w:val="00C72529"/>
    <w:rsid w:val="00D16631"/>
    <w:rsid w:val="00D325BA"/>
    <w:rsid w:val="00D45364"/>
    <w:rsid w:val="00D80206"/>
    <w:rsid w:val="00DA46CE"/>
    <w:rsid w:val="00DE0119"/>
    <w:rsid w:val="00DF4C7F"/>
    <w:rsid w:val="00DF6F74"/>
    <w:rsid w:val="00E3709E"/>
    <w:rsid w:val="00E478A6"/>
    <w:rsid w:val="00E56018"/>
    <w:rsid w:val="00E61DCD"/>
    <w:rsid w:val="00ED34ED"/>
    <w:rsid w:val="00EF29D5"/>
    <w:rsid w:val="00F13EC1"/>
    <w:rsid w:val="00F3275A"/>
    <w:rsid w:val="00F47BD0"/>
    <w:rsid w:val="00FB287F"/>
    <w:rsid w:val="00FB31F8"/>
    <w:rsid w:val="00FD084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0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2D45"/>
    <w:pPr>
      <w:ind w:left="720"/>
    </w:pPr>
  </w:style>
  <w:style w:type="table" w:styleId="TableGrid">
    <w:name w:val="Table Grid"/>
    <w:basedOn w:val="TableNormal"/>
    <w:uiPriority w:val="99"/>
    <w:rsid w:val="0071171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87850"/>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rsid w:val="009E067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E0677"/>
  </w:style>
  <w:style w:type="paragraph" w:styleId="Footer">
    <w:name w:val="footer"/>
    <w:basedOn w:val="Normal"/>
    <w:link w:val="FooterChar"/>
    <w:uiPriority w:val="99"/>
    <w:rsid w:val="009E067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E0677"/>
  </w:style>
  <w:style w:type="paragraph" w:styleId="DocumentMap">
    <w:name w:val="Document Map"/>
    <w:basedOn w:val="Normal"/>
    <w:link w:val="DocumentMapChar"/>
    <w:uiPriority w:val="99"/>
    <w:semiHidden/>
    <w:rsid w:val="00A6756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F6E16"/>
    <w:rPr>
      <w:rFonts w:ascii="Times New Roman" w:hAnsi="Times New Roman" w:cs="Times New Roman"/>
      <w:sz w:val="2"/>
      <w:szCs w:val="2"/>
      <w:lang w:eastAsia="en-US"/>
    </w:rPr>
  </w:style>
  <w:style w:type="character" w:styleId="CommentReference">
    <w:name w:val="annotation reference"/>
    <w:basedOn w:val="DefaultParagraphFont"/>
    <w:uiPriority w:val="99"/>
    <w:semiHidden/>
    <w:rsid w:val="00A6756C"/>
    <w:rPr>
      <w:sz w:val="16"/>
      <w:szCs w:val="16"/>
    </w:rPr>
  </w:style>
  <w:style w:type="paragraph" w:styleId="CommentText">
    <w:name w:val="annotation text"/>
    <w:basedOn w:val="Normal"/>
    <w:link w:val="CommentTextChar"/>
    <w:uiPriority w:val="99"/>
    <w:semiHidden/>
    <w:rsid w:val="00A6756C"/>
    <w:rPr>
      <w:sz w:val="20"/>
      <w:szCs w:val="20"/>
    </w:rPr>
  </w:style>
  <w:style w:type="character" w:customStyle="1" w:styleId="CommentTextChar">
    <w:name w:val="Comment Text Char"/>
    <w:basedOn w:val="DefaultParagraphFont"/>
    <w:link w:val="CommentText"/>
    <w:uiPriority w:val="99"/>
    <w:semiHidden/>
    <w:locked/>
    <w:rsid w:val="008F6E16"/>
    <w:rPr>
      <w:sz w:val="20"/>
      <w:szCs w:val="20"/>
      <w:lang w:eastAsia="en-US"/>
    </w:rPr>
  </w:style>
  <w:style w:type="paragraph" w:styleId="CommentSubject">
    <w:name w:val="annotation subject"/>
    <w:basedOn w:val="CommentText"/>
    <w:next w:val="CommentText"/>
    <w:link w:val="CommentSubjectChar"/>
    <w:uiPriority w:val="99"/>
    <w:semiHidden/>
    <w:rsid w:val="00A6756C"/>
    <w:rPr>
      <w:b/>
      <w:bCs/>
    </w:rPr>
  </w:style>
  <w:style w:type="character" w:customStyle="1" w:styleId="CommentSubjectChar">
    <w:name w:val="Comment Subject Char"/>
    <w:basedOn w:val="CommentTextChar"/>
    <w:link w:val="CommentSubject"/>
    <w:uiPriority w:val="99"/>
    <w:semiHidden/>
    <w:locked/>
    <w:rsid w:val="008F6E16"/>
    <w:rPr>
      <w:b/>
      <w:bCs/>
    </w:rPr>
  </w:style>
  <w:style w:type="paragraph" w:styleId="BalloonText">
    <w:name w:val="Balloon Text"/>
    <w:basedOn w:val="Normal"/>
    <w:link w:val="BalloonTextChar"/>
    <w:uiPriority w:val="99"/>
    <w:semiHidden/>
    <w:rsid w:val="00A675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6E16"/>
    <w:rPr>
      <w:rFonts w:ascii="Times New Roman" w:hAnsi="Times New Roman" w:cs="Times New Roman"/>
      <w:sz w:val="2"/>
      <w:szCs w:val="2"/>
      <w:lang w:eastAsia="en-US"/>
    </w:rPr>
  </w:style>
  <w:style w:type="paragraph" w:customStyle="1" w:styleId="Smlouva-slo">
    <w:name w:val="Smlouva-číslo"/>
    <w:basedOn w:val="Normal"/>
    <w:uiPriority w:val="99"/>
    <w:rsid w:val="00EF29D5"/>
    <w:pPr>
      <w:widowControl w:val="0"/>
      <w:spacing w:before="120" w:after="0" w:line="240" w:lineRule="atLeast"/>
      <w:jc w:val="both"/>
    </w:pPr>
    <w:rPr>
      <w:rFonts w:ascii="Times New Roman" w:eastAsia="Times New Roman" w:hAnsi="Times New Roman" w:cs="Times New Roman"/>
      <w:sz w:val="24"/>
      <w:szCs w:val="24"/>
      <w:lang w:eastAsia="cs-CZ"/>
    </w:rPr>
  </w:style>
  <w:style w:type="character" w:styleId="Hyperlink">
    <w:name w:val="Hyperlink"/>
    <w:basedOn w:val="DefaultParagraphFont"/>
    <w:uiPriority w:val="99"/>
    <w:rsid w:val="00197C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ri.stepan@koprivn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2696</Words>
  <Characters>15908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dc:title>
  <dc:subject/>
  <dc:creator>Veronika Alexova</dc:creator>
  <cp:keywords/>
  <dc:description/>
  <cp:lastModifiedBy>stepanji</cp:lastModifiedBy>
  <cp:revision>4</cp:revision>
  <cp:lastPrinted>2018-11-08T10:19:00Z</cp:lastPrinted>
  <dcterms:created xsi:type="dcterms:W3CDTF">2018-11-09T09:49:00Z</dcterms:created>
  <dcterms:modified xsi:type="dcterms:W3CDTF">2018-11-09T09:53:00Z</dcterms:modified>
</cp:coreProperties>
</file>