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48B05541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71398A">
        <w:rPr>
          <w:rFonts w:ascii="Calibri Light" w:hAnsi="Calibri Light" w:cs="Calibri Light"/>
        </w:rPr>
        <w:t>výběrového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71398A">
        <w:rPr>
          <w:rFonts w:ascii="Calibri Light" w:hAnsi="Calibri Light" w:cs="Calibri Light"/>
        </w:rPr>
        <w:t>mimo režim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49F200A4" w:rsidR="000326EF" w:rsidRPr="000A098B" w:rsidRDefault="005731C8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Modernizace </w:t>
      </w:r>
      <w:r w:rsidR="00BC01C1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vnitřní konektivity</w:t>
      </w: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</w:t>
      </w:r>
      <w:r w:rsidR="00E14DA6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</w:t>
      </w: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ZŠ Lubina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03E55E7D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731C8">
        <w:rPr>
          <w:rFonts w:ascii="Calibri Light" w:hAnsi="Calibri Light" w:cs="Calibri Light"/>
          <w:sz w:val="18"/>
          <w:szCs w:val="18"/>
        </w:rPr>
        <w:t>Kopřivnice-Lubina okres Nový Jičín, příspěvková organizace</w:t>
      </w:r>
    </w:p>
    <w:p w14:paraId="54760A94" w14:textId="2FD92A02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731C8">
        <w:rPr>
          <w:rFonts w:ascii="Calibri Light" w:hAnsi="Calibri Light" w:cs="Calibri Light"/>
          <w:sz w:val="18"/>
          <w:szCs w:val="18"/>
        </w:rPr>
        <w:t>Lubina 60</w:t>
      </w:r>
      <w:r w:rsidR="00596E7A">
        <w:rPr>
          <w:rFonts w:ascii="Calibri Light" w:hAnsi="Calibri Light" w:cs="Calibri Light"/>
          <w:sz w:val="18"/>
          <w:szCs w:val="18"/>
        </w:rPr>
        <w:t>, 742 21 Kopřivnice</w:t>
      </w:r>
    </w:p>
    <w:p w14:paraId="4F809F7D" w14:textId="213B9D67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5731C8">
        <w:rPr>
          <w:rFonts w:ascii="Calibri Light" w:hAnsi="Calibri Light" w:cs="Calibri Light"/>
          <w:sz w:val="18"/>
          <w:szCs w:val="18"/>
        </w:rPr>
        <w:t>Ivanou Davidovou</w:t>
      </w:r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75A9117A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731C8">
        <w:rPr>
          <w:rFonts w:ascii="Calibri Light" w:hAnsi="Calibri Light" w:cs="Calibri Light"/>
          <w:sz w:val="18"/>
          <w:szCs w:val="18"/>
        </w:rPr>
        <w:t>709 88 650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9EC6C22" w14:textId="77777777" w:rsidR="00676643" w:rsidRPr="003B407E" w:rsidRDefault="00676643" w:rsidP="00676643">
      <w:pPr>
        <w:pStyle w:val="Nadpis2"/>
        <w:framePr w:h="609" w:hRule="exact" w:wrap="notBeside" w:y="602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612067EE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6377957C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</w:t>
      </w:r>
      <w:r w:rsidR="00FE3AB0">
        <w:rPr>
          <w:rFonts w:ascii="Calibri Light" w:hAnsi="Calibri Light" w:cs="Calibri Light"/>
          <w:sz w:val="18"/>
          <w:szCs w:val="18"/>
        </w:rPr>
        <w:t>ích podmínek</w:t>
      </w:r>
      <w:r w:rsidRPr="003B407E">
        <w:rPr>
          <w:rFonts w:ascii="Calibri Light" w:hAnsi="Calibri Light" w:cs="Calibri Light"/>
          <w:sz w:val="18"/>
          <w:szCs w:val="18"/>
        </w:rPr>
        <w:t>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1D19F0BA" w:rsidR="0059716A" w:rsidRPr="00676643" w:rsidRDefault="00596E7A" w:rsidP="00676643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78122487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B50173">
        <w:rPr>
          <w:rFonts w:ascii="Calibri Light" w:hAnsi="Calibri Light" w:cs="Calibri Light"/>
          <w:sz w:val="18"/>
          <w:szCs w:val="18"/>
        </w:rPr>
        <w:t xml:space="preserve">přílohy č. </w:t>
      </w:r>
      <w:r w:rsidR="00E97190">
        <w:rPr>
          <w:rFonts w:ascii="Calibri Light" w:hAnsi="Calibri Light" w:cs="Calibri Light"/>
          <w:sz w:val="18"/>
          <w:szCs w:val="18"/>
        </w:rPr>
        <w:t>2</w:t>
      </w:r>
      <w:r w:rsidR="00B50173">
        <w:rPr>
          <w:rFonts w:ascii="Calibri Light" w:hAnsi="Calibri Light" w:cs="Calibri Light"/>
          <w:sz w:val="18"/>
          <w:szCs w:val="18"/>
        </w:rPr>
        <w:t xml:space="preserve"> a</w:t>
      </w:r>
      <w:r w:rsidRPr="003852F8">
        <w:rPr>
          <w:rFonts w:ascii="Calibri Light" w:hAnsi="Calibri Light" w:cs="Calibri Light"/>
          <w:sz w:val="18"/>
          <w:szCs w:val="18"/>
        </w:rPr>
        <w:t xml:space="preserve"> č. </w:t>
      </w:r>
      <w:r w:rsidR="00FE3AB0">
        <w:rPr>
          <w:rFonts w:ascii="Calibri Light" w:hAnsi="Calibri Light" w:cs="Calibri Light"/>
          <w:sz w:val="18"/>
          <w:szCs w:val="18"/>
        </w:rPr>
        <w:t>5</w:t>
      </w:r>
      <w:r w:rsidRPr="003852F8">
        <w:rPr>
          <w:rFonts w:ascii="Calibri Light" w:hAnsi="Calibri Light" w:cs="Calibri Light"/>
          <w:sz w:val="18"/>
          <w:szCs w:val="18"/>
        </w:rPr>
        <w:t xml:space="preserve"> 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podmínek.</w:t>
      </w:r>
    </w:p>
    <w:p w14:paraId="3B2AA68C" w14:textId="25A45B90" w:rsidR="005F6A94" w:rsidRDefault="003852F8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7CB9A29D" w14:textId="77777777" w:rsidR="00676643" w:rsidRPr="005F6A94" w:rsidRDefault="00676643" w:rsidP="00676643">
      <w:pPr>
        <w:pStyle w:val="Nadpis2"/>
        <w:framePr w:h="263" w:hRule="exact" w:wrap="notBeside" w:hAnchor="page" w:x="1357" w:y="39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571DA859" w14:textId="77777777" w:rsidR="00676643" w:rsidRDefault="00676643" w:rsidP="001C1ADD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</w:p>
    <w:p w14:paraId="361444B0" w14:textId="77777777" w:rsidR="00676643" w:rsidRPr="005F6A94" w:rsidRDefault="00676643" w:rsidP="00676643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429BDC52" w14:textId="132DA31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Zadavatel nezadá veřejnou zakázku účastníku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 řízení, pokud je to v rozporu s mezinárodními sankcemi podle zákona upravujícího provádění mezinárodních sankcí.</w:t>
      </w:r>
    </w:p>
    <w:p w14:paraId="7060068F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2EE894CF" w14:textId="6AB7C18C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ho zadavatel vyloučit z účasti v zadávacím řízení, nebo</w:t>
      </w:r>
    </w:p>
    <w:p w14:paraId="2BA1A29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72E74914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2DEB7662" w14:textId="70EC17D5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zadavatel požadovat nahrazení poddodavatele, nebo</w:t>
      </w:r>
    </w:p>
    <w:p w14:paraId="3D2959A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76614384" w14:textId="5477DAE6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základě požadavku zadavatele podle odstavce 3 musí účastník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poddodavatele nahradit nejpozději do konce zadavatelem stanovené přiměřené lhůty. Pokud nedojde k nahrazení poddodavatele,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vztahuje zákaz zadání veřejné zakázky.</w:t>
      </w:r>
    </w:p>
    <w:p w14:paraId="0C6815B8" w14:textId="77777777" w:rsidR="00676643" w:rsidRPr="005F6A94" w:rsidRDefault="00676643" w:rsidP="00676643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1015E394" w14:textId="77777777" w:rsidR="00676643" w:rsidRPr="005F6A94" w:rsidRDefault="00676643" w:rsidP="0067664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2866F76B" w14:textId="112E9219" w:rsid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3205A1B8" w14:textId="77777777" w:rsidR="00676643" w:rsidRP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447631D4" w:rsidR="00FF7BAE" w:rsidRPr="00676643" w:rsidRDefault="00110927" w:rsidP="00676643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 xml:space="preserve">e oprávněn podnikat v rozsahu odpovídajícímu předmětu veřejné zakázky, pokud jiné právní předpisy takové </w:t>
      </w:r>
      <w:r w:rsidRPr="00262A77">
        <w:rPr>
          <w:rFonts w:ascii="Calibri Light" w:hAnsi="Calibri Light" w:cs="Calibri Light"/>
          <w:sz w:val="18"/>
          <w:szCs w:val="18"/>
        </w:rPr>
        <w:t>oprávnění vyžadují (např. výpis z živnostenského rejstříku či obdobná licence).</w:t>
      </w:r>
      <w:r w:rsidR="00DE68C8" w:rsidRPr="00262A77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262A77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262A77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 w:rsidRPr="00262A77">
        <w:rPr>
          <w:rFonts w:ascii="Calibri Light" w:hAnsi="Calibri Light" w:cs="Calibri Light"/>
          <w:sz w:val="18"/>
          <w:szCs w:val="18"/>
          <w:lang w:eastAsia="cs-CZ"/>
        </w:rPr>
        <w:t>; Montáž, opravy, revize a zkoušky elektrických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0E410475" w:rsidR="00D74D3D" w:rsidRPr="003B407E" w:rsidRDefault="00D74D3D" w:rsidP="001C1ADD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podmínkách.</w:t>
      </w:r>
    </w:p>
    <w:p w14:paraId="3978C0B3" w14:textId="7C8A53B0" w:rsidR="00380C01" w:rsidRDefault="00E14DA6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E14DA6">
        <w:rPr>
          <w:rFonts w:ascii="Calibri Light" w:hAnsi="Calibri Light" w:cs="Calibri Light"/>
          <w:sz w:val="18"/>
          <w:szCs w:val="18"/>
          <w:lang w:eastAsia="cs-CZ"/>
        </w:rPr>
        <w:t>Dodavatel splňuje technický kvalifikační předpoklad, pokud v posledních 3 letech realizoval nejméně 2 zakázky obdobného charakteru, jejichž předmětem byla dodávka a implementace prvků a zařízení konektivity. 1 zakázka v minimálním finančním objemu 1,0 mil. Kč bez DPH a 1 zakázka v minimálním finančním objemu 0,5 mil. Kč bez DPH. Termínem konektivita se rozumí zajištění realizace LAN/WAN sítě vč. dodávky a montáže strukturované kabeláže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722B9B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47C0" w14:textId="77777777" w:rsidR="00722B9B" w:rsidRDefault="00722B9B" w:rsidP="00C726BB">
      <w:r>
        <w:separator/>
      </w:r>
    </w:p>
  </w:endnote>
  <w:endnote w:type="continuationSeparator" w:id="0">
    <w:p w14:paraId="4F132FAB" w14:textId="77777777" w:rsidR="00722B9B" w:rsidRDefault="00722B9B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D406" w14:textId="77777777" w:rsidR="00722B9B" w:rsidRDefault="00722B9B" w:rsidP="00C726BB">
      <w:r>
        <w:separator/>
      </w:r>
    </w:p>
  </w:footnote>
  <w:footnote w:type="continuationSeparator" w:id="0">
    <w:p w14:paraId="4F5DF718" w14:textId="77777777" w:rsidR="00722B9B" w:rsidRDefault="00722B9B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56EB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1861A2"/>
    <w:rsid w:val="001C1ADD"/>
    <w:rsid w:val="00200286"/>
    <w:rsid w:val="00206220"/>
    <w:rsid w:val="0021037E"/>
    <w:rsid w:val="00231D0E"/>
    <w:rsid w:val="00251D18"/>
    <w:rsid w:val="00262A77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731C8"/>
    <w:rsid w:val="00596E7A"/>
    <w:rsid w:val="0059716A"/>
    <w:rsid w:val="005A4BC6"/>
    <w:rsid w:val="005A7870"/>
    <w:rsid w:val="005C610F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76643"/>
    <w:rsid w:val="006B75B7"/>
    <w:rsid w:val="006C5CC2"/>
    <w:rsid w:val="006E524F"/>
    <w:rsid w:val="0071138B"/>
    <w:rsid w:val="0071398A"/>
    <w:rsid w:val="00717BED"/>
    <w:rsid w:val="00722B9B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8D2C66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0173"/>
    <w:rsid w:val="00B532D2"/>
    <w:rsid w:val="00B61460"/>
    <w:rsid w:val="00B727A6"/>
    <w:rsid w:val="00BB60D1"/>
    <w:rsid w:val="00BB7999"/>
    <w:rsid w:val="00BC01C1"/>
    <w:rsid w:val="00BC32F3"/>
    <w:rsid w:val="00C2269C"/>
    <w:rsid w:val="00C526E8"/>
    <w:rsid w:val="00C726BB"/>
    <w:rsid w:val="00C75614"/>
    <w:rsid w:val="00C762D3"/>
    <w:rsid w:val="00C93402"/>
    <w:rsid w:val="00CA2A70"/>
    <w:rsid w:val="00CC6333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14DA6"/>
    <w:rsid w:val="00E36F27"/>
    <w:rsid w:val="00E76E33"/>
    <w:rsid w:val="00E85A59"/>
    <w:rsid w:val="00E97190"/>
    <w:rsid w:val="00EB1BF9"/>
    <w:rsid w:val="00ED784D"/>
    <w:rsid w:val="00EF22D1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3AB0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1634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24</cp:revision>
  <cp:lastPrinted>2021-03-16T08:15:00Z</cp:lastPrinted>
  <dcterms:created xsi:type="dcterms:W3CDTF">2023-12-06T19:10:00Z</dcterms:created>
  <dcterms:modified xsi:type="dcterms:W3CDTF">2024-03-21T21:10:00Z</dcterms:modified>
</cp:coreProperties>
</file>